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27" w:rsidRPr="00EB7304" w:rsidRDefault="006C2E27" w:rsidP="006C2E27">
      <w:pPr>
        <w:spacing w:after="60"/>
        <w:ind w:left="426" w:hanging="426"/>
        <w:jc w:val="right"/>
        <w:rPr>
          <w:rFonts w:ascii="Verdana" w:hAnsi="Verdana"/>
          <w:sz w:val="18"/>
          <w:szCs w:val="18"/>
        </w:rPr>
      </w:pPr>
      <w:r w:rsidRPr="00EB7304">
        <w:rPr>
          <w:rFonts w:ascii="Verdana" w:hAnsi="Verdana"/>
          <w:sz w:val="18"/>
          <w:szCs w:val="18"/>
        </w:rPr>
        <w:t>Załącznik nr 1 do SIWZ</w:t>
      </w:r>
    </w:p>
    <w:p w:rsidR="006C2E27" w:rsidRPr="00EB7304" w:rsidRDefault="006C2E27" w:rsidP="006C2E27">
      <w:pPr>
        <w:spacing w:after="60"/>
        <w:rPr>
          <w:rFonts w:ascii="Verdana" w:hAnsi="Verdana"/>
          <w:sz w:val="18"/>
          <w:szCs w:val="18"/>
        </w:rPr>
      </w:pPr>
    </w:p>
    <w:p w:rsidR="006C2E27" w:rsidRPr="00EB7304" w:rsidRDefault="006C2E27" w:rsidP="006C2E27">
      <w:pPr>
        <w:spacing w:after="60"/>
        <w:rPr>
          <w:rFonts w:ascii="Verdana" w:hAnsi="Verdana"/>
          <w:sz w:val="18"/>
          <w:szCs w:val="18"/>
        </w:rPr>
      </w:pPr>
    </w:p>
    <w:p w:rsidR="006C2E27" w:rsidRPr="00EB7304" w:rsidRDefault="006C2E27" w:rsidP="006C2E27">
      <w:pPr>
        <w:spacing w:after="60"/>
        <w:rPr>
          <w:rFonts w:ascii="Verdana" w:hAnsi="Verdana"/>
          <w:sz w:val="18"/>
          <w:szCs w:val="18"/>
        </w:rPr>
      </w:pPr>
      <w:r w:rsidRPr="00EB7304">
        <w:rPr>
          <w:rFonts w:ascii="Verdana" w:hAnsi="Verdana"/>
          <w:sz w:val="18"/>
          <w:szCs w:val="18"/>
        </w:rPr>
        <w:t>______________________</w:t>
      </w:r>
    </w:p>
    <w:p w:rsidR="006C2E27" w:rsidRPr="00EB7304" w:rsidRDefault="006C2E27" w:rsidP="006C2E27">
      <w:pPr>
        <w:spacing w:after="60"/>
        <w:rPr>
          <w:rFonts w:ascii="Verdana" w:hAnsi="Verdana"/>
          <w:sz w:val="18"/>
          <w:szCs w:val="18"/>
        </w:rPr>
      </w:pPr>
    </w:p>
    <w:p w:rsidR="006C2E27" w:rsidRPr="00EB7304" w:rsidRDefault="006C2E27" w:rsidP="006C2E27">
      <w:pPr>
        <w:spacing w:after="60"/>
        <w:rPr>
          <w:rFonts w:ascii="Verdana" w:hAnsi="Verdana"/>
          <w:sz w:val="18"/>
          <w:szCs w:val="18"/>
        </w:rPr>
      </w:pPr>
      <w:r w:rsidRPr="00EB7304">
        <w:rPr>
          <w:rFonts w:ascii="Verdana" w:hAnsi="Verdana"/>
          <w:sz w:val="18"/>
          <w:szCs w:val="18"/>
        </w:rPr>
        <w:t>(pieczęć Wykonawcy/Wykonawców)</w:t>
      </w:r>
    </w:p>
    <w:p w:rsidR="006C2E27" w:rsidRPr="00EB7304" w:rsidRDefault="006C2E27" w:rsidP="006C2E27">
      <w:pPr>
        <w:spacing w:after="60"/>
        <w:jc w:val="center"/>
        <w:rPr>
          <w:rFonts w:ascii="Verdana" w:hAnsi="Verdana"/>
          <w:b/>
          <w:bCs/>
          <w:sz w:val="18"/>
          <w:szCs w:val="18"/>
        </w:rPr>
      </w:pPr>
    </w:p>
    <w:p w:rsidR="006C2E27" w:rsidRPr="00EB7304" w:rsidRDefault="006C2E27" w:rsidP="006C2E27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B7304">
        <w:rPr>
          <w:rFonts w:ascii="Verdana" w:hAnsi="Verdana"/>
          <w:b/>
          <w:bCs/>
          <w:sz w:val="18"/>
          <w:szCs w:val="18"/>
        </w:rPr>
        <w:t>Oferta na:</w:t>
      </w:r>
    </w:p>
    <w:p w:rsidR="006C2E27" w:rsidRDefault="006C2E27" w:rsidP="006C2E27">
      <w:pPr>
        <w:spacing w:after="12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A6D5D">
        <w:rPr>
          <w:rFonts w:ascii="Verdana" w:hAnsi="Verdana" w:cs="Arial"/>
          <w:b/>
          <w:bCs/>
          <w:color w:val="000000"/>
          <w:sz w:val="18"/>
          <w:szCs w:val="18"/>
        </w:rPr>
        <w:t>dostawę sceny mobilnej, sprzętu nagłośnieniowego oraz oświetleniowego oraz agregatu prądotwórczego w podziale na 3 części</w:t>
      </w:r>
    </w:p>
    <w:p w:rsidR="006C2E27" w:rsidRPr="00EB7304" w:rsidRDefault="006C2E27" w:rsidP="006C2E27">
      <w:pPr>
        <w:spacing w:after="120" w:line="240" w:lineRule="auto"/>
        <w:jc w:val="center"/>
        <w:rPr>
          <w:rFonts w:ascii="Verdana" w:hAnsi="Verdana"/>
          <w:b/>
          <w:bCs/>
          <w:kern w:val="2"/>
          <w:sz w:val="18"/>
          <w:szCs w:val="18"/>
        </w:rPr>
      </w:pPr>
      <w:r w:rsidRPr="00EB7304">
        <w:rPr>
          <w:rFonts w:ascii="Verdana" w:hAnsi="Verdana"/>
          <w:b/>
          <w:bCs/>
          <w:kern w:val="2"/>
          <w:sz w:val="18"/>
          <w:szCs w:val="18"/>
        </w:rPr>
        <w:t xml:space="preserve">Postępowanie </w:t>
      </w:r>
      <w:r w:rsidRPr="00EB7304">
        <w:rPr>
          <w:rFonts w:ascii="Verdana" w:hAnsi="Verdana" w:cs="Arial"/>
          <w:bCs/>
          <w:sz w:val="18"/>
          <w:szCs w:val="18"/>
        </w:rPr>
        <w:t xml:space="preserve">ADM.270-3/2016 </w:t>
      </w:r>
      <w:r w:rsidRPr="00EB7304">
        <w:rPr>
          <w:rFonts w:ascii="Verdana" w:hAnsi="Verdana"/>
          <w:sz w:val="18"/>
          <w:szCs w:val="18"/>
        </w:rPr>
        <w:t xml:space="preserve"> </w:t>
      </w:r>
    </w:p>
    <w:p w:rsidR="006C2E27" w:rsidRPr="00EB7304" w:rsidRDefault="006C2E27" w:rsidP="006C2E27">
      <w:pPr>
        <w:spacing w:after="120" w:line="240" w:lineRule="auto"/>
        <w:rPr>
          <w:rFonts w:ascii="Verdana" w:hAnsi="Verdana"/>
          <w:b/>
          <w:bCs/>
          <w:sz w:val="18"/>
          <w:szCs w:val="18"/>
        </w:rPr>
      </w:pPr>
    </w:p>
    <w:p w:rsidR="006C2E27" w:rsidRPr="00EB7304" w:rsidRDefault="006C2E27" w:rsidP="006C2E27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284" w:hanging="284"/>
        <w:rPr>
          <w:rFonts w:ascii="Verdana" w:hAnsi="Verdana"/>
          <w:b/>
          <w:bCs/>
          <w:sz w:val="18"/>
          <w:szCs w:val="18"/>
        </w:rPr>
      </w:pPr>
      <w:r w:rsidRPr="00EB7304">
        <w:rPr>
          <w:rFonts w:ascii="Verdana" w:hAnsi="Verdana"/>
          <w:b/>
          <w:bCs/>
          <w:sz w:val="18"/>
          <w:szCs w:val="18"/>
        </w:rPr>
        <w:t>Zamawiający:</w:t>
      </w:r>
    </w:p>
    <w:p w:rsidR="006C2E27" w:rsidRPr="00EB7304" w:rsidRDefault="006C2E27" w:rsidP="006C2E27">
      <w:pPr>
        <w:spacing w:after="120" w:line="240" w:lineRule="auto"/>
        <w:ind w:left="284" w:hanging="284"/>
        <w:rPr>
          <w:rFonts w:ascii="Verdana" w:hAnsi="Verdana"/>
          <w:sz w:val="18"/>
          <w:szCs w:val="18"/>
        </w:rPr>
      </w:pPr>
      <w:r w:rsidRPr="00EB7304">
        <w:rPr>
          <w:rFonts w:ascii="Verdana" w:hAnsi="Verdana"/>
          <w:sz w:val="18"/>
          <w:szCs w:val="18"/>
        </w:rPr>
        <w:t>Muzeum Tatrzańskie im. Dra Tytusa Chałubińskiego w Zakopanem</w:t>
      </w:r>
    </w:p>
    <w:p w:rsidR="006C2E27" w:rsidRPr="00EB7304" w:rsidRDefault="006C2E27" w:rsidP="006C2E27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18"/>
        </w:rPr>
      </w:pPr>
      <w:r w:rsidRPr="00EB7304">
        <w:rPr>
          <w:rFonts w:ascii="Verdana" w:hAnsi="Verdana"/>
          <w:sz w:val="18"/>
          <w:szCs w:val="18"/>
        </w:rPr>
        <w:t xml:space="preserve">ul. Krupówki 10, 34-500 Zakopane </w:t>
      </w:r>
    </w:p>
    <w:p w:rsidR="006C2E27" w:rsidRPr="00EB7304" w:rsidRDefault="006C2E27" w:rsidP="006C2E27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  <w:b/>
          <w:bCs/>
          <w:sz w:val="18"/>
          <w:szCs w:val="18"/>
        </w:rPr>
      </w:pPr>
      <w:r w:rsidRPr="00EB7304">
        <w:rPr>
          <w:rFonts w:ascii="Verdana" w:eastAsia="Verdana" w:hAnsi="Verdana" w:cs="Verdana"/>
          <w:b/>
          <w:sz w:val="18"/>
          <w:szCs w:val="18"/>
        </w:rPr>
        <w:t>Wykonawca/Wykonawcy*:</w:t>
      </w:r>
    </w:p>
    <w:p w:rsidR="006C2E27" w:rsidRPr="00EB7304" w:rsidRDefault="006C2E27" w:rsidP="006C2E27">
      <w:pPr>
        <w:spacing w:after="120" w:line="24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Nazwa Wykonawcy: ___________________________________________________________________</w:t>
      </w:r>
    </w:p>
    <w:p w:rsidR="006C2E27" w:rsidRPr="00EB7304" w:rsidRDefault="006C2E27" w:rsidP="006C2E27">
      <w:pPr>
        <w:spacing w:after="120" w:line="24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Adres Wykonawcy: __________________________________________________________________</w:t>
      </w:r>
    </w:p>
    <w:p w:rsidR="006C2E27" w:rsidRPr="00EB7304" w:rsidRDefault="006C2E27" w:rsidP="006C2E27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W przypadku wyboru naszej oferty zobowiązujemy się do zawarcia umowy zgodnej z niniejszą ofertą, na warunkach określonych w SIWZ, w miejscu i terminie wyznaczonym przez Zamawiającego.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OFERUJEMY wykonanie przedmiotu zamówienia za cenę:</w:t>
      </w:r>
    </w:p>
    <w:p w:rsidR="006C2E27" w:rsidRPr="00EB7304" w:rsidRDefault="006C2E27" w:rsidP="006C2E27">
      <w:pPr>
        <w:numPr>
          <w:ilvl w:val="0"/>
          <w:numId w:val="18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 xml:space="preserve">dla części 1:__________ złotych brutto (słownie: _________), w tym podatek VAT według obowiązującej stawki, </w:t>
      </w:r>
    </w:p>
    <w:p w:rsidR="006C2E27" w:rsidRPr="00EB7304" w:rsidRDefault="006C2E27" w:rsidP="006C2E27">
      <w:pPr>
        <w:numPr>
          <w:ilvl w:val="0"/>
          <w:numId w:val="18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 xml:space="preserve">dla części 2:__________ złotych brutto (słownie: _________), w tym podatek VAT według obowiązującej stawki, </w:t>
      </w:r>
    </w:p>
    <w:p w:rsidR="006C2E27" w:rsidRPr="00EB7304" w:rsidRDefault="006C2E27" w:rsidP="006C2E27">
      <w:pPr>
        <w:numPr>
          <w:ilvl w:val="0"/>
          <w:numId w:val="18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 xml:space="preserve">dla części 3:__________ złotych brutto (słownie: _________), w tym podatek VAT według obowiązującej stawki, 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OFERUJEMY:</w:t>
      </w:r>
    </w:p>
    <w:p w:rsidR="006C2E27" w:rsidRPr="00EB7304" w:rsidRDefault="006C2E27" w:rsidP="006C2E27">
      <w:pPr>
        <w:numPr>
          <w:ilvl w:val="0"/>
          <w:numId w:val="19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 xml:space="preserve">Dla części 1:  __________ miesięczny/_________________________ </w:t>
      </w:r>
      <w:r w:rsidRPr="00EB7304">
        <w:rPr>
          <w:rStyle w:val="Odwoanieprzypisudolnego"/>
          <w:rFonts w:ascii="Verdana" w:eastAsia="Verdana" w:hAnsi="Verdana" w:cs="Verdana"/>
          <w:sz w:val="18"/>
          <w:szCs w:val="18"/>
        </w:rPr>
        <w:footnoteReference w:id="1"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EB7304">
        <w:rPr>
          <w:rFonts w:ascii="Verdana" w:eastAsia="Verdana" w:hAnsi="Verdana" w:cs="Verdana"/>
          <w:sz w:val="18"/>
          <w:szCs w:val="18"/>
        </w:rPr>
        <w:t xml:space="preserve">miesięczny </w:t>
      </w:r>
      <w:r>
        <w:rPr>
          <w:rFonts w:ascii="Verdana" w:eastAsia="Verdana" w:hAnsi="Verdana" w:cs="Verdana"/>
          <w:sz w:val="18"/>
          <w:szCs w:val="18"/>
        </w:rPr>
        <w:t>okres</w:t>
      </w:r>
      <w:r w:rsidRPr="00EB7304">
        <w:rPr>
          <w:rFonts w:ascii="Verdana" w:eastAsia="Verdana" w:hAnsi="Verdana" w:cs="Verdana"/>
          <w:sz w:val="18"/>
          <w:szCs w:val="18"/>
        </w:rPr>
        <w:t xml:space="preserve"> rękojmi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 w:rsidRPr="00EB7304">
        <w:rPr>
          <w:rFonts w:ascii="Verdana" w:eastAsia="Verdana" w:hAnsi="Verdana" w:cs="Verdana"/>
          <w:sz w:val="18"/>
          <w:szCs w:val="18"/>
        </w:rPr>
        <w:t xml:space="preserve">gwarancji i </w:t>
      </w:r>
      <w:r>
        <w:rPr>
          <w:rFonts w:ascii="Verdana" w:eastAsia="Verdana" w:hAnsi="Verdana" w:cs="Verdana"/>
          <w:sz w:val="18"/>
          <w:szCs w:val="18"/>
        </w:rPr>
        <w:t xml:space="preserve">gwarancji </w:t>
      </w:r>
      <w:r w:rsidRPr="00EB7304">
        <w:rPr>
          <w:rFonts w:ascii="Verdana" w:eastAsia="Verdana" w:hAnsi="Verdana" w:cs="Verdana"/>
          <w:sz w:val="18"/>
          <w:szCs w:val="18"/>
        </w:rPr>
        <w:t>na warunkach określonych w SIWZ oraz załącznikach do SIWZ  – w przypadku niewypełnienia tego punktu Zamawiający przyjmuje, że Wykonawca zaoferował 24 miesięczny termin gwarancji i rękojmi.</w:t>
      </w:r>
    </w:p>
    <w:p w:rsidR="006C2E27" w:rsidRPr="00EB7304" w:rsidRDefault="006C2E27" w:rsidP="006C2E27">
      <w:pPr>
        <w:numPr>
          <w:ilvl w:val="0"/>
          <w:numId w:val="19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 xml:space="preserve">Dla części 2:  __________ miesięczny/_________________________ </w:t>
      </w:r>
      <w:r w:rsidRPr="00EB7304">
        <w:rPr>
          <w:rStyle w:val="Odwoanieprzypisudolnego"/>
          <w:rFonts w:ascii="Verdana" w:eastAsia="Verdana" w:hAnsi="Verdana" w:cs="Verdana"/>
          <w:sz w:val="18"/>
          <w:szCs w:val="18"/>
        </w:rPr>
        <w:footnoteReference w:id="2"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EB7304">
        <w:rPr>
          <w:rFonts w:ascii="Verdana" w:eastAsia="Verdana" w:hAnsi="Verdana" w:cs="Verdana"/>
          <w:sz w:val="18"/>
          <w:szCs w:val="18"/>
        </w:rPr>
        <w:t xml:space="preserve">miesięczny </w:t>
      </w:r>
      <w:r>
        <w:rPr>
          <w:rFonts w:ascii="Verdana" w:eastAsia="Verdana" w:hAnsi="Verdana" w:cs="Verdana"/>
          <w:sz w:val="18"/>
          <w:szCs w:val="18"/>
        </w:rPr>
        <w:t>okres</w:t>
      </w:r>
      <w:r w:rsidRPr="00EB7304">
        <w:rPr>
          <w:rFonts w:ascii="Verdana" w:eastAsia="Verdana" w:hAnsi="Verdana" w:cs="Verdana"/>
          <w:sz w:val="18"/>
          <w:szCs w:val="18"/>
        </w:rPr>
        <w:t xml:space="preserve"> rękojmi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 w:rsidRPr="00EB7304">
        <w:rPr>
          <w:rFonts w:ascii="Verdana" w:eastAsia="Verdana" w:hAnsi="Verdana" w:cs="Verdana"/>
          <w:sz w:val="18"/>
          <w:szCs w:val="18"/>
        </w:rPr>
        <w:t xml:space="preserve">gwarancji i </w:t>
      </w:r>
      <w:r>
        <w:rPr>
          <w:rFonts w:ascii="Verdana" w:eastAsia="Verdana" w:hAnsi="Verdana" w:cs="Verdana"/>
          <w:sz w:val="18"/>
          <w:szCs w:val="18"/>
        </w:rPr>
        <w:t xml:space="preserve">gwarancji </w:t>
      </w:r>
      <w:r w:rsidRPr="00EB7304">
        <w:rPr>
          <w:rFonts w:ascii="Verdana" w:eastAsia="Verdana" w:hAnsi="Verdana" w:cs="Verdana"/>
          <w:sz w:val="18"/>
          <w:szCs w:val="18"/>
        </w:rPr>
        <w:t>na warunkach określonych w SIWZ oraz załącznikach do SIWZ  – w przypadku niewypełnienia tego punktu Zamawiający przyjmuje, że Wykonawca zaoferował 24 miesięczny termin gwarancji i rękojmi.</w:t>
      </w:r>
    </w:p>
    <w:p w:rsidR="006C2E27" w:rsidRPr="00EB7304" w:rsidRDefault="006C2E27" w:rsidP="006C2E27">
      <w:pPr>
        <w:numPr>
          <w:ilvl w:val="0"/>
          <w:numId w:val="19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 xml:space="preserve">Dla części 3:  __________ miesięczny/_________________________ </w:t>
      </w:r>
      <w:r w:rsidRPr="00EB7304">
        <w:rPr>
          <w:rStyle w:val="Odwoanieprzypisudolnego"/>
          <w:rFonts w:ascii="Verdana" w:eastAsia="Verdana" w:hAnsi="Verdana" w:cs="Verdana"/>
          <w:sz w:val="18"/>
          <w:szCs w:val="18"/>
        </w:rPr>
        <w:footnoteReference w:id="3"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EB7304">
        <w:rPr>
          <w:rFonts w:ascii="Verdana" w:eastAsia="Verdana" w:hAnsi="Verdana" w:cs="Verdana"/>
          <w:sz w:val="18"/>
          <w:szCs w:val="18"/>
        </w:rPr>
        <w:t xml:space="preserve">miesięczny </w:t>
      </w:r>
      <w:r>
        <w:rPr>
          <w:rFonts w:ascii="Verdana" w:eastAsia="Verdana" w:hAnsi="Verdana" w:cs="Verdana"/>
          <w:sz w:val="18"/>
          <w:szCs w:val="18"/>
        </w:rPr>
        <w:t>okres</w:t>
      </w:r>
      <w:r w:rsidRPr="00EB7304">
        <w:rPr>
          <w:rFonts w:ascii="Verdana" w:eastAsia="Verdana" w:hAnsi="Verdana" w:cs="Verdana"/>
          <w:sz w:val="18"/>
          <w:szCs w:val="18"/>
        </w:rPr>
        <w:t xml:space="preserve"> rękojmi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 w:rsidRPr="00EB7304">
        <w:rPr>
          <w:rFonts w:ascii="Verdana" w:eastAsia="Verdana" w:hAnsi="Verdana" w:cs="Verdana"/>
          <w:sz w:val="18"/>
          <w:szCs w:val="18"/>
        </w:rPr>
        <w:t xml:space="preserve">gwarancji i </w:t>
      </w:r>
      <w:r>
        <w:rPr>
          <w:rFonts w:ascii="Verdana" w:eastAsia="Verdana" w:hAnsi="Verdana" w:cs="Verdana"/>
          <w:sz w:val="18"/>
          <w:szCs w:val="18"/>
        </w:rPr>
        <w:t xml:space="preserve">gwarancji producentów </w:t>
      </w:r>
      <w:r w:rsidRPr="00EB7304">
        <w:rPr>
          <w:rFonts w:ascii="Verdana" w:eastAsia="Verdana" w:hAnsi="Verdana" w:cs="Verdana"/>
          <w:sz w:val="18"/>
          <w:szCs w:val="18"/>
        </w:rPr>
        <w:t>na warunkach określonych w SIWZ oraz załącznikach do SIWZ  – w przypadku niewypełnienia tego punktu Zamawiający przyjmuje, że Wykonawca zaoferował 24 miesięczny termin gwarancji i rękojmi.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lastRenderedPageBreak/>
        <w:t>Oferujemy następujące dodatkowe funkcjonalności sprzętu (w przypadku niezaznaczenia żadnego z pól zamawiający uzna, że Wykonawca nie oferuje żadnej dodatkowej funkcjonalności:</w:t>
      </w:r>
    </w:p>
    <w:p w:rsidR="006C2E27" w:rsidRPr="00EB7304" w:rsidRDefault="006C2E27" w:rsidP="006C2E27">
      <w:pPr>
        <w:spacing w:after="120" w:line="240" w:lineRule="auto"/>
        <w:ind w:left="284"/>
        <w:jc w:val="both"/>
        <w:rPr>
          <w:rFonts w:ascii="Verdana" w:eastAsia="Verdana" w:hAnsi="Verdana" w:cs="Verdana"/>
          <w:b/>
          <w:sz w:val="18"/>
          <w:szCs w:val="18"/>
        </w:rPr>
      </w:pPr>
      <w:r w:rsidRPr="00EB7304">
        <w:rPr>
          <w:rFonts w:ascii="Verdana" w:eastAsia="Verdana" w:hAnsi="Verdana" w:cs="Verdana"/>
          <w:b/>
          <w:sz w:val="18"/>
          <w:szCs w:val="18"/>
        </w:rPr>
        <w:t>Część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096"/>
        <w:gridCol w:w="3094"/>
      </w:tblGrid>
      <w:tr w:rsidR="006C2E27" w:rsidRPr="00EB7304" w:rsidTr="00370CDB"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Dodatkowa funkcjonalność</w:t>
            </w: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nie</w:t>
            </w:r>
          </w:p>
        </w:tc>
      </w:tr>
      <w:tr w:rsidR="006C2E27" w:rsidRPr="00EB7304" w:rsidTr="00370CDB"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Komplet barierek</w:t>
            </w: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6C2E27" w:rsidRPr="00EB7304" w:rsidRDefault="006C2E27" w:rsidP="006C2E27">
      <w:pPr>
        <w:spacing w:after="120" w:line="240" w:lineRule="auto"/>
        <w:ind w:left="284"/>
        <w:jc w:val="both"/>
        <w:rPr>
          <w:rFonts w:ascii="Verdana" w:eastAsia="Verdana" w:hAnsi="Verdana" w:cs="Verdana"/>
          <w:sz w:val="18"/>
          <w:szCs w:val="18"/>
        </w:rPr>
      </w:pPr>
    </w:p>
    <w:p w:rsidR="006C2E27" w:rsidRPr="00EB7304" w:rsidRDefault="006C2E27" w:rsidP="006C2E27">
      <w:pPr>
        <w:spacing w:after="120" w:line="240" w:lineRule="auto"/>
        <w:ind w:left="284"/>
        <w:jc w:val="both"/>
        <w:rPr>
          <w:rFonts w:ascii="Verdana" w:eastAsia="Verdana" w:hAnsi="Verdana" w:cs="Verdana"/>
          <w:b/>
          <w:sz w:val="18"/>
          <w:szCs w:val="18"/>
        </w:rPr>
      </w:pPr>
      <w:r w:rsidRPr="00EB7304">
        <w:rPr>
          <w:rFonts w:ascii="Verdana" w:eastAsia="Verdana" w:hAnsi="Verdana" w:cs="Verdana"/>
          <w:b/>
          <w:sz w:val="18"/>
          <w:szCs w:val="18"/>
        </w:rPr>
        <w:t>Część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096"/>
        <w:gridCol w:w="3094"/>
      </w:tblGrid>
      <w:tr w:rsidR="006C2E27" w:rsidRPr="00EB7304" w:rsidTr="00370CDB"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Dodatkowa funkcjonalność</w:t>
            </w: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nie</w:t>
            </w:r>
          </w:p>
        </w:tc>
      </w:tr>
      <w:tr w:rsidR="006C2E27" w:rsidRPr="00EB7304" w:rsidTr="00370CDB"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dodatkowy komplet kabli</w:t>
            </w: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C2E27" w:rsidRPr="00EB7304" w:rsidTr="00370CDB"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obudowa transportowa typu rack</w:t>
            </w: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6C2E27" w:rsidRPr="00EB7304" w:rsidRDefault="006C2E27" w:rsidP="006C2E27">
      <w:pPr>
        <w:spacing w:after="120" w:line="240" w:lineRule="auto"/>
        <w:ind w:left="284"/>
        <w:jc w:val="both"/>
        <w:rPr>
          <w:rFonts w:ascii="Verdana" w:eastAsia="Verdana" w:hAnsi="Verdana" w:cs="Verdana"/>
          <w:sz w:val="18"/>
          <w:szCs w:val="18"/>
        </w:rPr>
      </w:pPr>
    </w:p>
    <w:p w:rsidR="006C2E27" w:rsidRPr="00EB7304" w:rsidRDefault="006C2E27" w:rsidP="006C2E27">
      <w:pPr>
        <w:spacing w:after="120" w:line="240" w:lineRule="auto"/>
        <w:ind w:left="284"/>
        <w:jc w:val="both"/>
        <w:rPr>
          <w:rFonts w:ascii="Verdana" w:eastAsia="Verdana" w:hAnsi="Verdana" w:cs="Verdana"/>
          <w:b/>
          <w:sz w:val="18"/>
          <w:szCs w:val="18"/>
        </w:rPr>
      </w:pPr>
      <w:r w:rsidRPr="00EB7304">
        <w:rPr>
          <w:rFonts w:ascii="Verdana" w:eastAsia="Verdana" w:hAnsi="Verdana" w:cs="Verdana"/>
          <w:b/>
          <w:sz w:val="18"/>
          <w:szCs w:val="18"/>
        </w:rPr>
        <w:t>Część 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C2E27" w:rsidRPr="00EB7304" w:rsidTr="00370CDB">
        <w:tc>
          <w:tcPr>
            <w:tcW w:w="2500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Dodatkowa funkcjonalność</w:t>
            </w:r>
          </w:p>
        </w:tc>
        <w:tc>
          <w:tcPr>
            <w:tcW w:w="2500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Zaoferowana moc agregatu prądotwórczego</w:t>
            </w:r>
          </w:p>
        </w:tc>
      </w:tr>
      <w:tr w:rsidR="006C2E27" w:rsidRPr="00EB7304" w:rsidTr="00370CDB">
        <w:tc>
          <w:tcPr>
            <w:tcW w:w="2500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EB7304">
              <w:rPr>
                <w:rFonts w:ascii="Verdana" w:eastAsia="Verdana" w:hAnsi="Verdana" w:cs="Verdana"/>
                <w:sz w:val="18"/>
                <w:szCs w:val="18"/>
              </w:rPr>
              <w:t>Agregat prądotwórczy</w:t>
            </w:r>
          </w:p>
        </w:tc>
        <w:tc>
          <w:tcPr>
            <w:tcW w:w="2500" w:type="pct"/>
            <w:shd w:val="clear" w:color="auto" w:fill="auto"/>
          </w:tcPr>
          <w:p w:rsidR="006C2E27" w:rsidRPr="00EB7304" w:rsidRDefault="006C2E27" w:rsidP="00370CDB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6C2E27" w:rsidRPr="00EB7304" w:rsidRDefault="006C2E27" w:rsidP="006C2E27">
      <w:pPr>
        <w:spacing w:after="120" w:line="240" w:lineRule="auto"/>
        <w:ind w:left="284"/>
        <w:jc w:val="both"/>
        <w:rPr>
          <w:rFonts w:ascii="Verdana" w:eastAsia="Verdana" w:hAnsi="Verdana" w:cs="Verdana"/>
          <w:sz w:val="18"/>
          <w:szCs w:val="18"/>
        </w:rPr>
      </w:pPr>
    </w:p>
    <w:p w:rsidR="006C2E27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ZOBOWIĄZUJEMY się zrealizować zamówienie w terminie do:</w:t>
      </w:r>
    </w:p>
    <w:p w:rsidR="006C2E27" w:rsidRDefault="006C2E27" w:rsidP="006C2E27">
      <w:pPr>
        <w:numPr>
          <w:ilvl w:val="1"/>
          <w:numId w:val="20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Dla części 1: …………………………………………</w:t>
      </w:r>
    </w:p>
    <w:p w:rsidR="006C2E27" w:rsidRDefault="006C2E27" w:rsidP="006C2E27">
      <w:pPr>
        <w:numPr>
          <w:ilvl w:val="1"/>
          <w:numId w:val="20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Dla części 2:………………………………………….</w:t>
      </w:r>
    </w:p>
    <w:p w:rsidR="006C2E27" w:rsidRDefault="006C2E27" w:rsidP="006C2E27">
      <w:pPr>
        <w:numPr>
          <w:ilvl w:val="1"/>
          <w:numId w:val="20"/>
        </w:num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Dla części 3: …………………………………………</w:t>
      </w:r>
    </w:p>
    <w:p w:rsidR="006C2E27" w:rsidRPr="002D53BB" w:rsidRDefault="006C2E27" w:rsidP="006C2E27">
      <w:pPr>
        <w:spacing w:after="12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 w:rsidRPr="002D53BB">
        <w:rPr>
          <w:rFonts w:ascii="Verdana" w:eastAsia="Verdana" w:hAnsi="Verdana" w:cs="Verdana"/>
          <w:b/>
          <w:sz w:val="18"/>
          <w:szCs w:val="18"/>
          <w:u w:val="single"/>
        </w:rPr>
        <w:t xml:space="preserve">W przypadku, gdy wykonawca nie wpisze terminu Zamawiający uznaje, że zrealizuje on zamówienie zgodnie z pkt IV SIWZ. 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JESTEŚMY związani niniejszą ofertą przez czas wskazany w Specyfikacji Istotnych Warunków Zamówienia.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 xml:space="preserve">ZAMÓWIENIE ZREALIZUJEMY sami*/przy udziale podwykonawców w następującym zakresie*: </w:t>
      </w:r>
    </w:p>
    <w:p w:rsidR="006C2E27" w:rsidRPr="00EB7304" w:rsidRDefault="006C2E27" w:rsidP="006C2E27">
      <w:pPr>
        <w:spacing w:after="120" w:line="240" w:lineRule="auto"/>
        <w:ind w:left="284" w:hanging="284"/>
        <w:jc w:val="center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______________________________________________</w:t>
      </w:r>
    </w:p>
    <w:p w:rsidR="006C2E27" w:rsidRPr="00EB7304" w:rsidRDefault="006C2E27" w:rsidP="006C2E27">
      <w:pPr>
        <w:spacing w:after="120" w:line="240" w:lineRule="auto"/>
        <w:ind w:left="284" w:hanging="284"/>
        <w:jc w:val="center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(zakres powierzonych prac)</w:t>
      </w:r>
    </w:p>
    <w:p w:rsidR="006C2E27" w:rsidRPr="00EB7304" w:rsidRDefault="006C2E27" w:rsidP="006C2E27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425" w:hanging="426"/>
        <w:jc w:val="both"/>
        <w:rPr>
          <w:rFonts w:ascii="Verdana" w:hAnsi="Verdana"/>
          <w:sz w:val="18"/>
          <w:szCs w:val="18"/>
        </w:rPr>
      </w:pPr>
      <w:r w:rsidRPr="00EB7304">
        <w:rPr>
          <w:rFonts w:ascii="Verdana" w:hAnsi="Verdana"/>
          <w:sz w:val="18"/>
          <w:szCs w:val="18"/>
        </w:rPr>
        <w:t>INFORMUJEMY, że: wybór oferty NIE BĘDZIE prowadzić do powstania u Zamawiającego obowiązku podatkowego zgodnie z przepisami o podatku od towarów i usług, o którym mowa w art. 91 ust. 3a ustawy Pzp / wybór oferty BĘDZIE prowadzić do powstania u Zamawiającego obowiązku podatkowego zgodnie z przepisami o podatku od towarów i usług, o którym mowa w art. 91 ust. 3a ustawy Pzp, w odniesieniu do następujących towarów lub usług: __________________________. Wartość towaru lub usług powodująca powstanie u Zamawiającego obowiązku podatkowego, o którym mowa w art. 91 ust. 3a ustawy Pzp to ___________ zł netto.</w:t>
      </w:r>
      <w:r w:rsidRPr="00EB7304">
        <w:rPr>
          <w:rStyle w:val="Odwoanieprzypisudolnego"/>
          <w:rFonts w:ascii="Verdana" w:hAnsi="Verdana"/>
          <w:sz w:val="18"/>
          <w:szCs w:val="18"/>
        </w:rPr>
        <w:footnoteReference w:id="4"/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WSZELKĄ KORESPONDENCJĘ w sprawie niniejszego postępowania należy kierować na poniższy adres: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Nazwa firmy: ____________________________________________________________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Adres: ___________________________________________________________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lastRenderedPageBreak/>
        <w:t>Telefon ____________________, email : ______________________________</w:t>
      </w:r>
    </w:p>
    <w:p w:rsidR="006C2E27" w:rsidRPr="00EB7304" w:rsidRDefault="006C2E27" w:rsidP="006C2E27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OFERTĘ niniejszą składamy na ____ stronach.</w:t>
      </w:r>
    </w:p>
    <w:p w:rsidR="006C2E27" w:rsidRPr="00EB7304" w:rsidRDefault="006C2E27" w:rsidP="006C2E27">
      <w:pPr>
        <w:spacing w:after="120"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C2E27" w:rsidRPr="00EB7304" w:rsidRDefault="006C2E27" w:rsidP="006C2E27">
      <w:pPr>
        <w:spacing w:after="120" w:line="240" w:lineRule="auto"/>
        <w:jc w:val="right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_______________ dnia ______ 20__ roku</w:t>
      </w:r>
    </w:p>
    <w:p w:rsidR="006C2E27" w:rsidRPr="00EB7304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</w:p>
    <w:p w:rsidR="006C2E27" w:rsidRPr="00EB7304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</w:p>
    <w:p w:rsidR="006C2E27" w:rsidRPr="00EB7304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</w:p>
    <w:p w:rsidR="006C2E27" w:rsidRPr="00EB7304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_________________________</w:t>
      </w:r>
    </w:p>
    <w:p w:rsidR="006C2E27" w:rsidRPr="00EB7304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(podpis Wykonawcy/Wykonawców)</w:t>
      </w:r>
    </w:p>
    <w:p w:rsidR="006C2E27" w:rsidRPr="00EB7304" w:rsidRDefault="006C2E27" w:rsidP="006C2E2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6C2E27" w:rsidRPr="00EB7304" w:rsidRDefault="006C2E27" w:rsidP="006C2E27">
      <w:pPr>
        <w:spacing w:after="60"/>
        <w:rPr>
          <w:rFonts w:ascii="Verdana" w:eastAsia="Verdana" w:hAnsi="Verdana" w:cs="Verdana"/>
          <w:sz w:val="18"/>
          <w:szCs w:val="18"/>
        </w:rPr>
      </w:pPr>
      <w:r w:rsidRPr="00EB7304">
        <w:rPr>
          <w:rFonts w:ascii="Verdana" w:eastAsia="Verdana" w:hAnsi="Verdana" w:cs="Verdana"/>
          <w:sz w:val="18"/>
          <w:szCs w:val="18"/>
        </w:rPr>
        <w:t>* - niewłaściwe skreślić</w:t>
      </w:r>
    </w:p>
    <w:p w:rsidR="006C2E27" w:rsidRDefault="006C2E27" w:rsidP="006C2E27">
      <w:pPr>
        <w:spacing w:after="60"/>
        <w:jc w:val="right"/>
        <w:rPr>
          <w:rFonts w:ascii="Verdana" w:hAnsi="Verdana"/>
          <w:sz w:val="20"/>
          <w:szCs w:val="20"/>
        </w:rPr>
      </w:pPr>
    </w:p>
    <w:p w:rsidR="006C2E27" w:rsidRPr="008A7B26" w:rsidRDefault="006C2E27" w:rsidP="006C2E27">
      <w:pPr>
        <w:rPr>
          <w:rFonts w:ascii="Verdana" w:hAnsi="Verdana"/>
          <w:bCs/>
          <w:i/>
        </w:rPr>
      </w:pPr>
    </w:p>
    <w:p w:rsidR="006C2E27" w:rsidRPr="008A7B26" w:rsidRDefault="006C2E27" w:rsidP="006C2E27">
      <w:pPr>
        <w:pStyle w:val="Stopka"/>
        <w:tabs>
          <w:tab w:val="clear" w:pos="9072"/>
          <w:tab w:val="center" w:pos="900"/>
          <w:tab w:val="center" w:pos="5400"/>
        </w:tabs>
        <w:rPr>
          <w:rFonts w:ascii="Verdana" w:hAnsi="Verdana"/>
          <w:bCs/>
          <w:i/>
        </w:rPr>
      </w:pPr>
    </w:p>
    <w:p w:rsidR="006C2E27" w:rsidRPr="008A7B26" w:rsidRDefault="006C2E27" w:rsidP="006C2E27">
      <w:pPr>
        <w:pStyle w:val="Stopka"/>
        <w:tabs>
          <w:tab w:val="clear" w:pos="9072"/>
          <w:tab w:val="center" w:pos="900"/>
          <w:tab w:val="center" w:pos="5400"/>
        </w:tabs>
        <w:rPr>
          <w:rFonts w:ascii="Verdana" w:hAnsi="Verdana"/>
          <w:bCs/>
          <w:i/>
        </w:rPr>
      </w:pPr>
    </w:p>
    <w:p w:rsidR="006C2E27" w:rsidRPr="00D73CF1" w:rsidRDefault="006C2E27" w:rsidP="006C2E27">
      <w:pPr>
        <w:tabs>
          <w:tab w:val="center" w:pos="900"/>
          <w:tab w:val="center" w:pos="4819"/>
          <w:tab w:val="center" w:pos="5400"/>
        </w:tabs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  <w:r w:rsidRPr="00D73CF1">
        <w:rPr>
          <w:rFonts w:ascii="Verdana" w:hAnsi="Verdana"/>
          <w:b/>
          <w:bCs/>
          <w:sz w:val="18"/>
          <w:szCs w:val="18"/>
        </w:rPr>
        <w:lastRenderedPageBreak/>
        <w:t>zał. nr 2</w:t>
      </w:r>
      <w:r w:rsidRPr="00D73CF1">
        <w:rPr>
          <w:rFonts w:ascii="Verdana" w:hAnsi="Verdana"/>
          <w:b/>
          <w:sz w:val="18"/>
          <w:szCs w:val="18"/>
        </w:rPr>
        <w:t xml:space="preserve"> do SIWZ</w:t>
      </w:r>
    </w:p>
    <w:p w:rsidR="006C2E27" w:rsidRPr="00D73CF1" w:rsidRDefault="006C2E27" w:rsidP="006C2E27">
      <w:pPr>
        <w:jc w:val="center"/>
        <w:rPr>
          <w:rFonts w:ascii="Verdana" w:hAnsi="Verdana"/>
          <w:b/>
          <w:iCs/>
          <w:sz w:val="18"/>
          <w:szCs w:val="18"/>
        </w:rPr>
      </w:pPr>
    </w:p>
    <w:p w:rsidR="006C2E27" w:rsidRPr="00D73CF1" w:rsidRDefault="006C2E27" w:rsidP="006C2E27">
      <w:pPr>
        <w:jc w:val="center"/>
        <w:rPr>
          <w:rFonts w:ascii="Verdana" w:hAnsi="Verdana"/>
          <w:b/>
          <w:iCs/>
          <w:sz w:val="18"/>
          <w:szCs w:val="18"/>
        </w:rPr>
      </w:pPr>
    </w:p>
    <w:p w:rsidR="006C2E27" w:rsidRPr="00D73CF1" w:rsidRDefault="006C2E27" w:rsidP="006C2E27">
      <w:pPr>
        <w:jc w:val="center"/>
        <w:rPr>
          <w:rFonts w:ascii="Verdana" w:hAnsi="Verdana"/>
          <w:b/>
          <w:iCs/>
          <w:sz w:val="18"/>
          <w:szCs w:val="18"/>
        </w:rPr>
      </w:pPr>
    </w:p>
    <w:p w:rsidR="006C2E27" w:rsidRPr="00D73CF1" w:rsidRDefault="006C2E27" w:rsidP="006C2E27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73CF1">
        <w:rPr>
          <w:rFonts w:ascii="Verdana" w:hAnsi="Verdana"/>
          <w:b/>
          <w:sz w:val="18"/>
          <w:szCs w:val="18"/>
          <w:u w:val="single"/>
        </w:rPr>
        <w:t>Oświadczenie Wykonawcy o spełnieniu warunków udziału w postępowaniu i braku podstaw do wykluczenia.</w:t>
      </w:r>
    </w:p>
    <w:p w:rsidR="006C2E27" w:rsidRPr="00D73CF1" w:rsidRDefault="006C2E27" w:rsidP="006C2E27">
      <w:pPr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Nazwa Wykonawcy:</w:t>
      </w:r>
    </w:p>
    <w:p w:rsidR="006C2E27" w:rsidRPr="00D73CF1" w:rsidRDefault="006C2E27" w:rsidP="006C2E27">
      <w:pPr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ab/>
      </w:r>
    </w:p>
    <w:p w:rsidR="006C2E27" w:rsidRPr="00D73CF1" w:rsidRDefault="006C2E27" w:rsidP="006C2E27">
      <w:pPr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Adres Wykonawcy/Wykonawców:</w:t>
      </w:r>
    </w:p>
    <w:p w:rsidR="006C2E27" w:rsidRPr="00D73CF1" w:rsidRDefault="006C2E27" w:rsidP="006C2E27">
      <w:pPr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ab/>
      </w:r>
    </w:p>
    <w:p w:rsidR="006C2E27" w:rsidRPr="00D73CF1" w:rsidRDefault="006C2E27" w:rsidP="006C2E27">
      <w:pPr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ab/>
      </w:r>
    </w:p>
    <w:p w:rsidR="006C2E27" w:rsidRPr="00D73CF1" w:rsidRDefault="006C2E27" w:rsidP="006C2E27">
      <w:pPr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 xml:space="preserve">Nr postępowania: ADM.270-3/2016 </w:t>
      </w:r>
    </w:p>
    <w:p w:rsidR="006C2E27" w:rsidRPr="00D73CF1" w:rsidRDefault="006C2E27" w:rsidP="006C2E27">
      <w:pPr>
        <w:jc w:val="both"/>
        <w:rPr>
          <w:rFonts w:ascii="Verdana" w:hAnsi="Verdana"/>
          <w:sz w:val="18"/>
          <w:szCs w:val="18"/>
        </w:rPr>
      </w:pPr>
    </w:p>
    <w:p w:rsidR="006C2E27" w:rsidRPr="00D73CF1" w:rsidRDefault="006C2E27" w:rsidP="006C2E27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73CF1">
        <w:rPr>
          <w:rFonts w:ascii="Verdana" w:hAnsi="Verdana"/>
          <w:sz w:val="18"/>
          <w:szCs w:val="18"/>
        </w:rPr>
        <w:t xml:space="preserve">Postępowanie na </w:t>
      </w:r>
      <w:r w:rsidRPr="007A6D5D">
        <w:rPr>
          <w:rFonts w:ascii="Verdana" w:hAnsi="Verdana"/>
          <w:b/>
          <w:sz w:val="18"/>
          <w:szCs w:val="18"/>
        </w:rPr>
        <w:t>dostawę sceny mobilnej, sprzętu nagłośnieniowego oraz oświetleniowego oraz agregatu prądotwórczego w podziale na 3 części</w:t>
      </w:r>
    </w:p>
    <w:p w:rsidR="006C2E27" w:rsidRPr="00D73CF1" w:rsidRDefault="006C2E27" w:rsidP="006C2E27">
      <w:pPr>
        <w:jc w:val="both"/>
        <w:rPr>
          <w:rFonts w:ascii="Verdana" w:hAnsi="Verdana"/>
          <w:sz w:val="18"/>
          <w:szCs w:val="18"/>
        </w:rPr>
      </w:pPr>
    </w:p>
    <w:p w:rsidR="006C2E27" w:rsidRPr="00D73CF1" w:rsidRDefault="006C2E27" w:rsidP="006C2E27">
      <w:pPr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 xml:space="preserve">Oświadczam, że spełniam warunki udziału w postępowaniu, o których mowa w art. 22 ustawy oraz nie podlegam </w:t>
      </w:r>
      <w:r w:rsidRPr="00D73CF1">
        <w:rPr>
          <w:rFonts w:ascii="Verdana" w:hAnsi="Verdana"/>
          <w:bCs/>
          <w:iCs/>
          <w:sz w:val="18"/>
          <w:szCs w:val="18"/>
        </w:rPr>
        <w:t>wykluczeniu</w:t>
      </w:r>
      <w:r w:rsidRPr="00D73CF1">
        <w:rPr>
          <w:rFonts w:ascii="Verdana" w:hAnsi="Verdana"/>
          <w:sz w:val="18"/>
          <w:szCs w:val="18"/>
        </w:rPr>
        <w:t xml:space="preserve"> </w:t>
      </w:r>
      <w:r w:rsidRPr="00D73CF1">
        <w:rPr>
          <w:rFonts w:ascii="Verdana" w:hAnsi="Verdana"/>
          <w:bCs/>
          <w:iCs/>
          <w:sz w:val="18"/>
          <w:szCs w:val="18"/>
        </w:rPr>
        <w:t>z powodu niespełniania warunków, o których mowa w art. 24 ust. 1 oraz ust. 5 pkt 1 ustawy</w:t>
      </w:r>
      <w:r w:rsidRPr="00D73CF1">
        <w:rPr>
          <w:rFonts w:ascii="Verdana" w:hAnsi="Verdana"/>
          <w:sz w:val="18"/>
          <w:szCs w:val="18"/>
        </w:rPr>
        <w:t>,</w:t>
      </w:r>
    </w:p>
    <w:p w:rsidR="006C2E27" w:rsidRPr="00D73CF1" w:rsidRDefault="006C2E27" w:rsidP="006C2E27">
      <w:pPr>
        <w:jc w:val="both"/>
        <w:rPr>
          <w:rFonts w:ascii="Verdana" w:hAnsi="Verdana"/>
          <w:sz w:val="18"/>
          <w:szCs w:val="18"/>
        </w:rPr>
      </w:pPr>
    </w:p>
    <w:p w:rsidR="006C2E27" w:rsidRPr="00D73CF1" w:rsidRDefault="006C2E27" w:rsidP="006C2E2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 xml:space="preserve">oraz wskazuję, że dokumenty na potwierdzenie tych faktów, o których mowa w pkt VII SIWZ, znajdują się w formie elektronicznej pod następującymi adresami internetowymi ogólnodostępnych i bezpłatnych baz danych </w:t>
      </w:r>
      <w:r w:rsidRPr="00D73CF1">
        <w:rPr>
          <w:rFonts w:ascii="Verdana" w:hAnsi="Verdana"/>
          <w:i/>
          <w:sz w:val="18"/>
          <w:szCs w:val="18"/>
        </w:rPr>
        <w:t>(należy zaznaczyć)</w:t>
      </w:r>
      <w:r w:rsidRPr="00D73CF1">
        <w:rPr>
          <w:rFonts w:ascii="Verdana" w:hAnsi="Verdana"/>
          <w:sz w:val="18"/>
          <w:szCs w:val="18"/>
        </w:rPr>
        <w:t>:</w:t>
      </w:r>
    </w:p>
    <w:p w:rsidR="006C2E27" w:rsidRPr="00D73CF1" w:rsidRDefault="006C2E27" w:rsidP="006C2E27">
      <w:pPr>
        <w:autoSpaceDE w:val="0"/>
        <w:autoSpaceDN w:val="0"/>
        <w:adjustRightInd w:val="0"/>
        <w:ind w:left="2274"/>
        <w:rPr>
          <w:rStyle w:val="HTML-cytat"/>
          <w:rFonts w:ascii="Verdana" w:hAnsi="Verdana"/>
          <w:i w:val="0"/>
          <w:iCs w:val="0"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sym w:font="Courier New" w:char="007F"/>
      </w:r>
      <w:r w:rsidRPr="00D73CF1">
        <w:rPr>
          <w:rFonts w:ascii="Verdana" w:hAnsi="Verdana"/>
          <w:b/>
          <w:sz w:val="18"/>
          <w:szCs w:val="18"/>
        </w:rPr>
        <w:t xml:space="preserve">  </w:t>
      </w:r>
      <w:hyperlink r:id="rId8" w:history="1">
        <w:r w:rsidRPr="00D73CF1">
          <w:rPr>
            <w:rStyle w:val="Hipercze"/>
            <w:rFonts w:ascii="Verdana" w:hAnsi="Verdana"/>
            <w:sz w:val="18"/>
            <w:szCs w:val="18"/>
          </w:rPr>
          <w:t>https://ems.ms.gov.pl</w:t>
        </w:r>
      </w:hyperlink>
    </w:p>
    <w:p w:rsidR="006C2E27" w:rsidRPr="00D73CF1" w:rsidRDefault="006C2E27" w:rsidP="006C2E27">
      <w:pPr>
        <w:ind w:left="2274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sym w:font="Courier New" w:char="007F"/>
      </w:r>
      <w:r w:rsidRPr="00D73CF1">
        <w:rPr>
          <w:rFonts w:ascii="Verdana" w:hAnsi="Verdana"/>
          <w:b/>
          <w:sz w:val="18"/>
          <w:szCs w:val="18"/>
        </w:rPr>
        <w:t xml:space="preserve">  </w:t>
      </w:r>
      <w:hyperlink r:id="rId9" w:history="1">
        <w:r w:rsidRPr="00D73CF1">
          <w:rPr>
            <w:rStyle w:val="Hipercze"/>
            <w:rFonts w:ascii="Verdana" w:hAnsi="Verdana"/>
            <w:sz w:val="18"/>
            <w:szCs w:val="18"/>
          </w:rPr>
          <w:t>https://prod.ceidg.gov.pl</w:t>
        </w:r>
      </w:hyperlink>
    </w:p>
    <w:p w:rsidR="006C2E27" w:rsidRPr="00D73CF1" w:rsidRDefault="006C2E27" w:rsidP="006C2E27">
      <w:pPr>
        <w:jc w:val="both"/>
        <w:rPr>
          <w:rFonts w:ascii="Verdana" w:hAnsi="Verdana"/>
          <w:sz w:val="18"/>
          <w:szCs w:val="18"/>
        </w:rPr>
      </w:pPr>
    </w:p>
    <w:p w:rsidR="006C2E27" w:rsidRPr="00D73CF1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  <w:r w:rsidRPr="00D73CF1">
        <w:rPr>
          <w:rFonts w:ascii="Verdana" w:eastAsia="Verdana" w:hAnsi="Verdana" w:cs="Verdana"/>
          <w:sz w:val="18"/>
          <w:szCs w:val="18"/>
        </w:rPr>
        <w:t>_______________ dnia ______ 20__ roku</w:t>
      </w:r>
    </w:p>
    <w:p w:rsidR="006C2E27" w:rsidRPr="00D73CF1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</w:p>
    <w:p w:rsidR="006C2E27" w:rsidRPr="00D73CF1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</w:p>
    <w:p w:rsidR="006C2E27" w:rsidRPr="00D73CF1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</w:p>
    <w:p w:rsidR="006C2E27" w:rsidRPr="00D73CF1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  <w:r w:rsidRPr="00D73CF1">
        <w:rPr>
          <w:rFonts w:ascii="Verdana" w:eastAsia="Verdana" w:hAnsi="Verdana" w:cs="Verdana"/>
          <w:sz w:val="18"/>
          <w:szCs w:val="18"/>
        </w:rPr>
        <w:t>_________________________</w:t>
      </w:r>
    </w:p>
    <w:p w:rsidR="006C2E27" w:rsidRPr="00D73CF1" w:rsidRDefault="006C2E27" w:rsidP="006C2E27">
      <w:pPr>
        <w:spacing w:after="60"/>
        <w:jc w:val="right"/>
        <w:rPr>
          <w:rFonts w:ascii="Verdana" w:eastAsia="Verdana" w:hAnsi="Verdana" w:cs="Verdana"/>
          <w:sz w:val="18"/>
          <w:szCs w:val="18"/>
        </w:rPr>
      </w:pPr>
      <w:r w:rsidRPr="00D73CF1">
        <w:rPr>
          <w:rFonts w:ascii="Verdana" w:eastAsia="Verdana" w:hAnsi="Verdana" w:cs="Verdana"/>
          <w:sz w:val="18"/>
          <w:szCs w:val="18"/>
        </w:rPr>
        <w:t>(podpis Wykonawcy/Wykonawców)</w:t>
      </w:r>
    </w:p>
    <w:p w:rsidR="006C2E27" w:rsidRDefault="006C2E27" w:rsidP="006C2E27">
      <w:pPr>
        <w:shd w:val="clear" w:color="auto" w:fill="FFFFFF"/>
        <w:spacing w:after="120" w:line="240" w:lineRule="auto"/>
        <w:ind w:left="6237"/>
        <w:jc w:val="center"/>
        <w:rPr>
          <w:rFonts w:ascii="Verdana" w:eastAsia="Verdana" w:hAnsi="Verdana" w:cs="Verdana"/>
          <w:sz w:val="18"/>
        </w:rPr>
      </w:pPr>
    </w:p>
    <w:p w:rsidR="006C2E27" w:rsidRPr="00D73CF1" w:rsidRDefault="006C2E27" w:rsidP="006C2E27">
      <w:pPr>
        <w:spacing w:after="60"/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Pr="00D73CF1">
        <w:rPr>
          <w:rFonts w:ascii="Verdana" w:hAnsi="Verdana" w:cs="Arial"/>
          <w:b/>
          <w:sz w:val="18"/>
          <w:szCs w:val="18"/>
        </w:rPr>
        <w:lastRenderedPageBreak/>
        <w:t>załącznik nr 3 do SIWZ</w:t>
      </w:r>
    </w:p>
    <w:p w:rsidR="006C2E27" w:rsidRPr="00D73CF1" w:rsidRDefault="006C2E27" w:rsidP="006C2E27">
      <w:pPr>
        <w:spacing w:after="60"/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sz w:val="18"/>
          <w:szCs w:val="18"/>
        </w:rPr>
        <w:t>____________________________</w:t>
      </w:r>
    </w:p>
    <w:p w:rsidR="006C2E27" w:rsidRPr="00D73CF1" w:rsidRDefault="006C2E27" w:rsidP="006C2E27">
      <w:pPr>
        <w:spacing w:after="60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sz w:val="18"/>
          <w:szCs w:val="18"/>
        </w:rPr>
        <w:t>(pieczęć Wykonawcy/Wykonawców)</w:t>
      </w:r>
    </w:p>
    <w:p w:rsidR="006C2E27" w:rsidRPr="00D73CF1" w:rsidRDefault="006C2E27" w:rsidP="006C2E27">
      <w:pPr>
        <w:spacing w:after="60"/>
        <w:jc w:val="right"/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jc w:val="right"/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jc w:val="center"/>
        <w:rPr>
          <w:rFonts w:ascii="Verdana" w:hAnsi="Verdana" w:cs="Arial"/>
          <w:i/>
          <w:sz w:val="18"/>
          <w:szCs w:val="18"/>
        </w:rPr>
      </w:pPr>
      <w:r w:rsidRPr="00D73CF1">
        <w:rPr>
          <w:rFonts w:ascii="Verdana" w:hAnsi="Verdana" w:cs="Arial"/>
          <w:i/>
          <w:sz w:val="18"/>
          <w:szCs w:val="18"/>
        </w:rPr>
        <w:t xml:space="preserve">Informacja </w:t>
      </w:r>
    </w:p>
    <w:p w:rsidR="006C2E27" w:rsidRPr="00D73CF1" w:rsidRDefault="006C2E27" w:rsidP="006C2E27">
      <w:pPr>
        <w:spacing w:after="60"/>
        <w:jc w:val="center"/>
        <w:rPr>
          <w:rFonts w:ascii="Verdana" w:hAnsi="Verdana" w:cs="Arial"/>
          <w:i/>
          <w:sz w:val="18"/>
          <w:szCs w:val="18"/>
        </w:rPr>
      </w:pPr>
      <w:r w:rsidRPr="00D73CF1">
        <w:rPr>
          <w:rFonts w:ascii="Verdana" w:hAnsi="Verdana" w:cs="Arial"/>
          <w:i/>
          <w:sz w:val="18"/>
          <w:szCs w:val="18"/>
        </w:rPr>
        <w:t>w zakresie określonym w art. 24 ust. 11</w:t>
      </w:r>
    </w:p>
    <w:p w:rsidR="006C2E27" w:rsidRPr="00D73CF1" w:rsidRDefault="006C2E27" w:rsidP="006C2E27">
      <w:pPr>
        <w:spacing w:after="60"/>
        <w:jc w:val="center"/>
        <w:rPr>
          <w:rFonts w:ascii="Verdana" w:hAnsi="Verdana" w:cs="Arial"/>
          <w:i/>
          <w:sz w:val="18"/>
          <w:szCs w:val="18"/>
        </w:rPr>
      </w:pPr>
      <w:r w:rsidRPr="00D73CF1">
        <w:rPr>
          <w:rFonts w:ascii="Verdana" w:hAnsi="Verdana" w:cs="Arial"/>
          <w:i/>
          <w:sz w:val="18"/>
          <w:szCs w:val="18"/>
        </w:rPr>
        <w:t>ustawy z dnia 29 stycznia 2004 r. - Prawo zamówień publicznych</w:t>
      </w:r>
    </w:p>
    <w:p w:rsidR="006C2E27" w:rsidRPr="00D73CF1" w:rsidRDefault="006C2E27" w:rsidP="006C2E27">
      <w:pPr>
        <w:spacing w:after="60"/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sz w:val="18"/>
          <w:szCs w:val="18"/>
        </w:rPr>
        <w:t xml:space="preserve">Nazwa Wykonawcy: </w:t>
      </w:r>
      <w:r w:rsidRPr="00D73CF1">
        <w:rPr>
          <w:rFonts w:ascii="Verdana" w:hAnsi="Verdana" w:cs="Arial"/>
          <w:sz w:val="18"/>
          <w:szCs w:val="18"/>
        </w:rPr>
        <w:tab/>
        <w:t>____________________________________________________________</w:t>
      </w:r>
    </w:p>
    <w:p w:rsidR="006C2E27" w:rsidRPr="00D73CF1" w:rsidRDefault="006C2E27" w:rsidP="006C2E27">
      <w:pPr>
        <w:spacing w:after="60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sz w:val="18"/>
          <w:szCs w:val="18"/>
        </w:rPr>
        <w:t xml:space="preserve">Adres Wykonawcy: </w:t>
      </w:r>
      <w:r w:rsidRPr="00D73CF1">
        <w:rPr>
          <w:rFonts w:ascii="Verdana" w:hAnsi="Verdana" w:cs="Arial"/>
          <w:sz w:val="18"/>
          <w:szCs w:val="18"/>
        </w:rPr>
        <w:tab/>
        <w:t>____________________________________________________________</w:t>
      </w:r>
    </w:p>
    <w:p w:rsidR="006C2E27" w:rsidRPr="00D73CF1" w:rsidRDefault="006C2E27" w:rsidP="006C2E27">
      <w:pPr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jc w:val="right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sz w:val="18"/>
          <w:szCs w:val="18"/>
        </w:rPr>
        <w:t xml:space="preserve"> </w:t>
      </w:r>
    </w:p>
    <w:p w:rsidR="006C2E27" w:rsidRPr="00D73CF1" w:rsidRDefault="006C2E27" w:rsidP="006C2E27">
      <w:pPr>
        <w:spacing w:after="60"/>
        <w:jc w:val="both"/>
        <w:textAlignment w:val="top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sz w:val="18"/>
          <w:szCs w:val="18"/>
        </w:rPr>
        <w:t>Składając ofertę w postępowaniu o zamówienie publiczne prowadzonym w trybie przetargu nieograniczonego na</w:t>
      </w:r>
      <w:r w:rsidRPr="00D73CF1">
        <w:rPr>
          <w:rFonts w:ascii="Verdana" w:hAnsi="Verdana" w:cs="Arial"/>
          <w:b/>
          <w:sz w:val="18"/>
          <w:szCs w:val="18"/>
        </w:rPr>
        <w:t xml:space="preserve"> </w:t>
      </w:r>
      <w:r w:rsidRPr="007A6D5D">
        <w:rPr>
          <w:rFonts w:ascii="Verdana" w:hAnsi="Verdana" w:cs="Arial"/>
          <w:b/>
          <w:bCs/>
          <w:kern w:val="2"/>
          <w:sz w:val="18"/>
          <w:szCs w:val="18"/>
        </w:rPr>
        <w:t>dostawę sceny mobilnej, sprzętu nagłośnieniowego oraz oświetleniowego oraz agregatu prądotwórczego w podziale na 3 części</w:t>
      </w:r>
      <w:r w:rsidRPr="00D73CF1">
        <w:rPr>
          <w:rFonts w:ascii="Verdana" w:hAnsi="Verdana" w:cs="Arial"/>
          <w:b/>
          <w:bCs/>
          <w:kern w:val="2"/>
          <w:sz w:val="18"/>
          <w:szCs w:val="18"/>
        </w:rPr>
        <w:t xml:space="preserve">, postępowanie ADM.270-3/2016, </w:t>
      </w:r>
      <w:r w:rsidRPr="00D73CF1">
        <w:rPr>
          <w:rFonts w:ascii="Verdana" w:hAnsi="Verdana" w:cs="Arial"/>
          <w:sz w:val="18"/>
          <w:szCs w:val="18"/>
        </w:rPr>
        <w:t xml:space="preserve">informuję, że: </w:t>
      </w:r>
    </w:p>
    <w:p w:rsidR="006C2E27" w:rsidRPr="00D73CF1" w:rsidRDefault="006C2E27" w:rsidP="006C2E27">
      <w:pPr>
        <w:spacing w:after="60"/>
        <w:jc w:val="both"/>
        <w:textAlignment w:val="top"/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pStyle w:val="Akapitzlist"/>
        <w:numPr>
          <w:ilvl w:val="0"/>
          <w:numId w:val="2"/>
        </w:numPr>
        <w:spacing w:after="60" w:line="240" w:lineRule="auto"/>
        <w:ind w:left="426" w:hanging="426"/>
        <w:contextualSpacing w:val="0"/>
        <w:jc w:val="both"/>
        <w:textAlignment w:val="top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b/>
          <w:sz w:val="18"/>
          <w:szCs w:val="18"/>
        </w:rPr>
        <w:t>Wykonawca nie należy</w:t>
      </w:r>
      <w:r w:rsidRPr="00D73CF1">
        <w:rPr>
          <w:rFonts w:ascii="Verdana" w:hAnsi="Verdana" w:cs="Arial"/>
          <w:sz w:val="18"/>
          <w:szCs w:val="18"/>
        </w:rPr>
        <w:t xml:space="preserve"> do grupy kapitałowej w rozumieniu ustawy z dnia 16 lutego 2007 r. </w:t>
      </w:r>
      <w:r w:rsidRPr="00D73CF1">
        <w:rPr>
          <w:rFonts w:ascii="Verdana" w:hAnsi="Verdana" w:cs="Arial"/>
          <w:i/>
          <w:sz w:val="18"/>
          <w:szCs w:val="18"/>
        </w:rPr>
        <w:t>o ochronie konkurencji i konsumentów</w:t>
      </w:r>
      <w:r w:rsidRPr="00D73CF1">
        <w:rPr>
          <w:rFonts w:ascii="Verdana" w:hAnsi="Verdana" w:cs="Arial"/>
          <w:sz w:val="18"/>
          <w:szCs w:val="18"/>
        </w:rPr>
        <w:t xml:space="preserve"> (Dz. U. Nr 50, poz. 331, z późn. zm.)*;</w:t>
      </w:r>
    </w:p>
    <w:p w:rsidR="006C2E27" w:rsidRPr="00D73CF1" w:rsidRDefault="006C2E27" w:rsidP="006C2E27">
      <w:pPr>
        <w:pStyle w:val="Akapitzlist"/>
        <w:numPr>
          <w:ilvl w:val="0"/>
          <w:numId w:val="2"/>
        </w:numPr>
        <w:spacing w:after="60" w:line="240" w:lineRule="auto"/>
        <w:ind w:left="426" w:hanging="426"/>
        <w:contextualSpacing w:val="0"/>
        <w:jc w:val="both"/>
        <w:textAlignment w:val="top"/>
        <w:rPr>
          <w:rFonts w:ascii="Verdana" w:hAnsi="Verdana" w:cs="Arial"/>
          <w:sz w:val="18"/>
          <w:szCs w:val="18"/>
        </w:rPr>
      </w:pPr>
      <w:r w:rsidRPr="00D73CF1">
        <w:rPr>
          <w:rFonts w:ascii="Verdana" w:hAnsi="Verdana" w:cs="Arial"/>
          <w:b/>
          <w:sz w:val="18"/>
          <w:szCs w:val="18"/>
        </w:rPr>
        <w:t>Wykonawca należy</w:t>
      </w:r>
      <w:r w:rsidRPr="00D73CF1">
        <w:rPr>
          <w:rFonts w:ascii="Verdana" w:hAnsi="Verdana" w:cs="Arial"/>
          <w:sz w:val="18"/>
          <w:szCs w:val="18"/>
        </w:rPr>
        <w:t xml:space="preserve"> do grupy kapitałowej w rozumieniu ustawy z dnia 16 lutego 2007 r. </w:t>
      </w:r>
      <w:r w:rsidRPr="00D73CF1">
        <w:rPr>
          <w:rFonts w:ascii="Verdana" w:hAnsi="Verdana" w:cs="Arial"/>
          <w:i/>
          <w:sz w:val="18"/>
          <w:szCs w:val="18"/>
        </w:rPr>
        <w:t>o ochronie konkurencji i konsumentów</w:t>
      </w:r>
      <w:r w:rsidRPr="00D73CF1">
        <w:rPr>
          <w:rFonts w:ascii="Verdana" w:hAnsi="Verdana" w:cs="Arial"/>
          <w:sz w:val="18"/>
          <w:szCs w:val="18"/>
        </w:rPr>
        <w:t xml:space="preserve"> (Dz. U. Nr 50, poz. 331, z późn. zm.) i w związku z tym przedkładam poniżej listę podmiotów należących do tej samej grupy kapitałowej*: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252"/>
      </w:tblGrid>
      <w:tr w:rsidR="006C2E27" w:rsidRPr="00D73CF1" w:rsidTr="00370CDB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6C2E27" w:rsidRPr="00D73CF1" w:rsidRDefault="006C2E27" w:rsidP="00370CDB">
            <w:pPr>
              <w:spacing w:after="60"/>
              <w:jc w:val="center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  <w:r w:rsidRPr="00D73CF1">
              <w:rPr>
                <w:rFonts w:ascii="Verdana" w:eastAsia="Calibri" w:hAnsi="Verdana" w:cs="Arial"/>
                <w:sz w:val="18"/>
                <w:szCs w:val="18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2E27" w:rsidRPr="00D73CF1" w:rsidRDefault="006C2E27" w:rsidP="00370CDB">
            <w:pPr>
              <w:spacing w:after="60"/>
              <w:jc w:val="center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  <w:r w:rsidRPr="00D73CF1">
              <w:rPr>
                <w:rFonts w:ascii="Verdana" w:eastAsia="Calibri" w:hAnsi="Verdana" w:cs="Arial"/>
                <w:sz w:val="18"/>
                <w:szCs w:val="18"/>
              </w:rPr>
              <w:t>Nazwa (firma) podmiotu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C2E27" w:rsidRPr="00D73CF1" w:rsidRDefault="006C2E27" w:rsidP="00370CDB">
            <w:pPr>
              <w:spacing w:after="60"/>
              <w:jc w:val="center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  <w:r w:rsidRPr="00D73CF1">
              <w:rPr>
                <w:rFonts w:ascii="Verdana" w:eastAsia="Calibri" w:hAnsi="Verdana" w:cs="Arial"/>
                <w:sz w:val="18"/>
                <w:szCs w:val="18"/>
              </w:rPr>
              <w:t>Adres siedziby podmiotu</w:t>
            </w:r>
          </w:p>
        </w:tc>
      </w:tr>
      <w:tr w:rsidR="006C2E27" w:rsidRPr="00D73CF1" w:rsidTr="00370CDB">
        <w:tc>
          <w:tcPr>
            <w:tcW w:w="534" w:type="dxa"/>
            <w:shd w:val="clear" w:color="auto" w:fill="auto"/>
            <w:vAlign w:val="center"/>
          </w:tcPr>
          <w:p w:rsidR="006C2E27" w:rsidRPr="00D73CF1" w:rsidRDefault="006C2E27" w:rsidP="00370CDB">
            <w:pPr>
              <w:spacing w:after="60"/>
              <w:jc w:val="center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  <w:r w:rsidRPr="00D73CF1">
              <w:rPr>
                <w:rFonts w:ascii="Verdana" w:eastAsia="Calibri" w:hAnsi="Verdana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2E27" w:rsidRPr="00D73CF1" w:rsidRDefault="006C2E27" w:rsidP="00370CDB">
            <w:pPr>
              <w:spacing w:after="60"/>
              <w:jc w:val="center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  <w:r w:rsidRPr="00D73CF1">
              <w:rPr>
                <w:rFonts w:ascii="Verdana" w:eastAsia="Calibri" w:hAnsi="Verdana" w:cs="Arial"/>
                <w:sz w:val="18"/>
                <w:szCs w:val="18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C2E27" w:rsidRPr="00D73CF1" w:rsidRDefault="006C2E27" w:rsidP="00370CDB">
            <w:pPr>
              <w:spacing w:after="60"/>
              <w:jc w:val="center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  <w:r w:rsidRPr="00D73CF1">
              <w:rPr>
                <w:rFonts w:ascii="Verdana" w:eastAsia="Calibri" w:hAnsi="Verdana" w:cs="Arial"/>
                <w:sz w:val="18"/>
                <w:szCs w:val="18"/>
              </w:rPr>
              <w:t>3</w:t>
            </w:r>
          </w:p>
        </w:tc>
      </w:tr>
      <w:tr w:rsidR="006C2E27" w:rsidRPr="00D73CF1" w:rsidTr="00370CDB">
        <w:trPr>
          <w:trHeight w:val="454"/>
        </w:trPr>
        <w:tc>
          <w:tcPr>
            <w:tcW w:w="534" w:type="dxa"/>
            <w:shd w:val="clear" w:color="auto" w:fill="auto"/>
          </w:tcPr>
          <w:p w:rsidR="006C2E27" w:rsidRPr="00D73CF1" w:rsidRDefault="006C2E27" w:rsidP="00370CDB">
            <w:pPr>
              <w:spacing w:after="60"/>
              <w:jc w:val="both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6C2E27" w:rsidRPr="00D73CF1" w:rsidRDefault="006C2E27" w:rsidP="00370CDB">
            <w:pPr>
              <w:spacing w:after="60"/>
              <w:jc w:val="both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6C2E27" w:rsidRPr="00D73CF1" w:rsidRDefault="006C2E27" w:rsidP="00370CDB">
            <w:pPr>
              <w:spacing w:after="60"/>
              <w:jc w:val="both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6C2E27" w:rsidRPr="00D73CF1" w:rsidTr="00370CDB">
        <w:trPr>
          <w:trHeight w:val="454"/>
        </w:trPr>
        <w:tc>
          <w:tcPr>
            <w:tcW w:w="534" w:type="dxa"/>
            <w:shd w:val="clear" w:color="auto" w:fill="auto"/>
          </w:tcPr>
          <w:p w:rsidR="006C2E27" w:rsidRPr="00D73CF1" w:rsidRDefault="006C2E27" w:rsidP="00370CDB">
            <w:pPr>
              <w:spacing w:after="60"/>
              <w:jc w:val="both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6C2E27" w:rsidRPr="00D73CF1" w:rsidRDefault="006C2E27" w:rsidP="00370CDB">
            <w:pPr>
              <w:spacing w:after="60"/>
              <w:jc w:val="both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6C2E27" w:rsidRPr="00D73CF1" w:rsidRDefault="006C2E27" w:rsidP="00370CDB">
            <w:pPr>
              <w:spacing w:after="60"/>
              <w:jc w:val="both"/>
              <w:textAlignment w:val="top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:rsidR="006C2E27" w:rsidRPr="00D73CF1" w:rsidRDefault="006C2E27" w:rsidP="006C2E27">
      <w:pPr>
        <w:jc w:val="both"/>
        <w:textAlignment w:val="top"/>
        <w:rPr>
          <w:rFonts w:ascii="Verdan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ind w:left="5664"/>
        <w:jc w:val="center"/>
        <w:rPr>
          <w:rFonts w:ascii="Verdana" w:eastAsia="Optim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ind w:left="5664"/>
        <w:jc w:val="center"/>
        <w:rPr>
          <w:rFonts w:ascii="Verdana" w:eastAsia="Optima" w:hAnsi="Verdana" w:cs="Arial"/>
          <w:sz w:val="18"/>
          <w:szCs w:val="18"/>
        </w:rPr>
      </w:pPr>
    </w:p>
    <w:p w:rsidR="006C2E27" w:rsidRPr="00D73CF1" w:rsidRDefault="006C2E27" w:rsidP="006C2E27">
      <w:pPr>
        <w:spacing w:after="60"/>
        <w:ind w:left="5664"/>
        <w:jc w:val="center"/>
        <w:rPr>
          <w:rFonts w:ascii="Verdana" w:eastAsia="Optima" w:hAnsi="Verdana" w:cs="Arial"/>
          <w:sz w:val="18"/>
          <w:szCs w:val="18"/>
        </w:rPr>
      </w:pPr>
      <w:r w:rsidRPr="00D73CF1">
        <w:rPr>
          <w:rFonts w:ascii="Verdana" w:eastAsia="Optima" w:hAnsi="Verdana" w:cs="Arial"/>
          <w:sz w:val="18"/>
          <w:szCs w:val="18"/>
        </w:rPr>
        <w:t>_________ dnia ____ 20__ roku</w:t>
      </w:r>
    </w:p>
    <w:p w:rsidR="006C2E27" w:rsidRPr="00D73CF1" w:rsidRDefault="006C2E27" w:rsidP="006C2E27">
      <w:pPr>
        <w:spacing w:after="60"/>
        <w:ind w:left="5664"/>
        <w:jc w:val="center"/>
        <w:rPr>
          <w:rFonts w:ascii="Verdana" w:hAnsi="Verdana" w:cs="Arial"/>
          <w:i/>
          <w:iCs/>
          <w:sz w:val="18"/>
          <w:szCs w:val="18"/>
        </w:rPr>
      </w:pPr>
    </w:p>
    <w:p w:rsidR="006C2E27" w:rsidRPr="00D73CF1" w:rsidRDefault="006C2E27" w:rsidP="006C2E27">
      <w:pPr>
        <w:spacing w:after="60"/>
        <w:ind w:left="5664"/>
        <w:jc w:val="center"/>
        <w:rPr>
          <w:rFonts w:ascii="Verdana" w:hAnsi="Verdana" w:cs="Arial"/>
          <w:iCs/>
          <w:sz w:val="18"/>
          <w:szCs w:val="18"/>
        </w:rPr>
      </w:pPr>
      <w:r w:rsidRPr="00D73CF1">
        <w:rPr>
          <w:rFonts w:ascii="Verdana" w:hAnsi="Verdana" w:cs="Arial"/>
          <w:iCs/>
          <w:sz w:val="18"/>
          <w:szCs w:val="18"/>
        </w:rPr>
        <w:t>__________________________</w:t>
      </w:r>
    </w:p>
    <w:p w:rsidR="006C2E27" w:rsidRPr="00D73CF1" w:rsidRDefault="006C2E27" w:rsidP="006C2E27">
      <w:pPr>
        <w:spacing w:after="60"/>
        <w:ind w:left="5664"/>
        <w:jc w:val="center"/>
        <w:rPr>
          <w:rFonts w:ascii="Verdana" w:eastAsia="Optima" w:hAnsi="Verdana" w:cs="Arial"/>
          <w:i/>
          <w:iCs/>
          <w:sz w:val="18"/>
          <w:szCs w:val="18"/>
        </w:rPr>
      </w:pPr>
      <w:r w:rsidRPr="00D73CF1">
        <w:rPr>
          <w:rFonts w:ascii="Verdana" w:eastAsia="Optima" w:hAnsi="Verdana" w:cs="Arial"/>
          <w:sz w:val="18"/>
          <w:szCs w:val="18"/>
        </w:rPr>
        <w:t>(podpis Wykonawcy/Wykonawców)</w:t>
      </w:r>
    </w:p>
    <w:p w:rsidR="006C2E27" w:rsidRPr="00D73CF1" w:rsidRDefault="006C2E27" w:rsidP="006C2E27">
      <w:pPr>
        <w:spacing w:after="60"/>
        <w:rPr>
          <w:rFonts w:ascii="Verdana" w:eastAsia="Verdana" w:hAnsi="Verdana" w:cs="Verdana"/>
          <w:sz w:val="18"/>
          <w:szCs w:val="18"/>
        </w:rPr>
      </w:pPr>
      <w:r w:rsidRPr="00D73CF1">
        <w:rPr>
          <w:rFonts w:ascii="Verdana" w:hAnsi="Verdana" w:cs="Arial"/>
          <w:sz w:val="18"/>
          <w:szCs w:val="18"/>
        </w:rPr>
        <w:t>* - niewłaściwe skreślić</w:t>
      </w:r>
      <w:r w:rsidRPr="00D73CF1">
        <w:rPr>
          <w:rFonts w:ascii="Verdana" w:eastAsia="Verdana" w:hAnsi="Verdana" w:cs="Verdana"/>
          <w:sz w:val="18"/>
          <w:szCs w:val="18"/>
        </w:rPr>
        <w:t xml:space="preserve"> </w:t>
      </w:r>
    </w:p>
    <w:p w:rsidR="006C2E27" w:rsidRPr="00D73CF1" w:rsidRDefault="006C2E27" w:rsidP="006C2E27">
      <w:pPr>
        <w:spacing w:after="120" w:line="240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 w:rsidRPr="00D73CF1">
        <w:rPr>
          <w:rFonts w:ascii="Verdana" w:eastAsia="Verdana" w:hAnsi="Verdana" w:cs="Verdana"/>
          <w:sz w:val="18"/>
          <w:szCs w:val="18"/>
        </w:rPr>
        <w:br w:type="page"/>
      </w:r>
      <w:r w:rsidRPr="00D73CF1">
        <w:rPr>
          <w:rFonts w:ascii="Verdana" w:eastAsia="Verdana" w:hAnsi="Verdana" w:cs="Verdana"/>
          <w:b/>
          <w:sz w:val="18"/>
          <w:szCs w:val="18"/>
        </w:rPr>
        <w:lastRenderedPageBreak/>
        <w:t>Załącznik nr 4 do SIWZ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bCs/>
          <w:i/>
          <w:kern w:val="2"/>
          <w:sz w:val="18"/>
          <w:szCs w:val="18"/>
        </w:rPr>
      </w:pPr>
      <w:r w:rsidRPr="00D73CF1">
        <w:rPr>
          <w:rFonts w:ascii="Verdana" w:hAnsi="Verdana"/>
          <w:b/>
          <w:bCs/>
          <w:i/>
          <w:kern w:val="2"/>
          <w:sz w:val="18"/>
          <w:szCs w:val="18"/>
        </w:rPr>
        <w:t>Wzór umowy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§ 1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Przedmiot umowy</w:t>
      </w:r>
    </w:p>
    <w:p w:rsidR="006C2E27" w:rsidRPr="00D73CF1" w:rsidRDefault="006C2E27" w:rsidP="006C2E27">
      <w:pPr>
        <w:widowControl w:val="0"/>
        <w:numPr>
          <w:ilvl w:val="1"/>
          <w:numId w:val="4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Zamawiający powierza, a Wykonawca przyjmuje do realizacji ………………… (zwane dalej przedmiotem zamówienia).</w:t>
      </w:r>
    </w:p>
    <w:p w:rsidR="006C2E27" w:rsidRPr="00D73CF1" w:rsidRDefault="006C2E27" w:rsidP="006C2E27">
      <w:pPr>
        <w:widowControl w:val="0"/>
        <w:numPr>
          <w:ilvl w:val="1"/>
          <w:numId w:val="4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będzie w szczególności zobowiązany do realizacji następujących świadczeń:</w:t>
      </w:r>
    </w:p>
    <w:p w:rsidR="006C2E27" w:rsidRPr="00D73CF1" w:rsidRDefault="006C2E27" w:rsidP="006C2E27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overflowPunct w:val="0"/>
        <w:adjustRightInd w:val="0"/>
        <w:spacing w:after="12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przeniesienie na Zamawiającego własności przedmiotu zamówienia, zgodnie z wymaganiami Specyfikacji Istotnych Warunków Zamówienia i ofertą Wykonawcy,</w:t>
      </w:r>
    </w:p>
    <w:p w:rsidR="006C2E27" w:rsidRPr="00D73CF1" w:rsidRDefault="006C2E27" w:rsidP="006C2E27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overflowPunct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dostawę i instrukcję montażu</w:t>
      </w:r>
      <w:r w:rsidRPr="00D73CF1">
        <w:rPr>
          <w:rStyle w:val="Odwoanieprzypisudolnego"/>
          <w:rFonts w:ascii="Verdana" w:hAnsi="Verdana"/>
          <w:sz w:val="18"/>
          <w:szCs w:val="18"/>
        </w:rPr>
        <w:footnoteReference w:id="5"/>
      </w:r>
      <w:r w:rsidRPr="00D73CF1">
        <w:rPr>
          <w:rFonts w:ascii="Verdana" w:hAnsi="Verdana"/>
          <w:sz w:val="18"/>
          <w:szCs w:val="18"/>
        </w:rPr>
        <w:t xml:space="preserve"> i szkolenie w zakresie obsługi przedmiotu zamówienia.</w:t>
      </w:r>
    </w:p>
    <w:p w:rsidR="006C2E27" w:rsidRPr="00D73CF1" w:rsidRDefault="006C2E27" w:rsidP="006C2E27">
      <w:pPr>
        <w:widowControl w:val="0"/>
        <w:numPr>
          <w:ilvl w:val="1"/>
          <w:numId w:val="4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jest zobowiązany wykonać zamówienie do ……. (zgodnie z SIWZ) r.</w:t>
      </w:r>
    </w:p>
    <w:p w:rsidR="006C2E27" w:rsidRPr="00D73CF1" w:rsidRDefault="006C2E27" w:rsidP="006C2E27">
      <w:pPr>
        <w:widowControl w:val="0"/>
        <w:numPr>
          <w:ilvl w:val="1"/>
          <w:numId w:val="4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Integralnymi częściami niniejszej umowy są:</w:t>
      </w:r>
    </w:p>
    <w:p w:rsidR="006C2E27" w:rsidRPr="00D73CF1" w:rsidRDefault="006C2E27" w:rsidP="006C2E27">
      <w:pPr>
        <w:widowControl w:val="0"/>
        <w:numPr>
          <w:ilvl w:val="2"/>
          <w:numId w:val="8"/>
        </w:numPr>
        <w:tabs>
          <w:tab w:val="left" w:pos="851"/>
        </w:tabs>
        <w:overflowPunct w:val="0"/>
        <w:adjustRightInd w:val="0"/>
        <w:spacing w:after="12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Oferta wykonawcy z dnia …………. r. – załącznik nr 1 do umowy,</w:t>
      </w:r>
    </w:p>
    <w:p w:rsidR="006C2E27" w:rsidRPr="00D73CF1" w:rsidRDefault="006C2E27" w:rsidP="006C2E27">
      <w:pPr>
        <w:widowControl w:val="0"/>
        <w:numPr>
          <w:ilvl w:val="2"/>
          <w:numId w:val="8"/>
        </w:numPr>
        <w:tabs>
          <w:tab w:val="left" w:pos="851"/>
        </w:tabs>
        <w:overflowPunct w:val="0"/>
        <w:adjustRightInd w:val="0"/>
        <w:spacing w:after="12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Specyfikacja Istotnych Warunków Zamówienia z dnia ……….. r. wraz z wyjaśnieniami i modyfikacjami – załącznik nr 2 do umowy.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§ 2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Koordynacja</w:t>
      </w:r>
    </w:p>
    <w:p w:rsidR="006C2E27" w:rsidRPr="00D73CF1" w:rsidRDefault="006C2E27" w:rsidP="006C2E27">
      <w:pPr>
        <w:widowControl w:val="0"/>
        <w:numPr>
          <w:ilvl w:val="0"/>
          <w:numId w:val="11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 toku realizacji niniejszego zamówienia strony wyznaczają swoich przedstawicieli:</w:t>
      </w:r>
    </w:p>
    <w:p w:rsidR="006C2E27" w:rsidRPr="00D73CF1" w:rsidRDefault="006C2E27" w:rsidP="006C2E27">
      <w:pPr>
        <w:pStyle w:val="Akapitzlist"/>
        <w:numPr>
          <w:ilvl w:val="2"/>
          <w:numId w:val="3"/>
        </w:numPr>
        <w:tabs>
          <w:tab w:val="left" w:pos="851"/>
        </w:tabs>
        <w:spacing w:after="120" w:line="24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ze strony Zamawiającego: …………………………</w:t>
      </w:r>
    </w:p>
    <w:p w:rsidR="006C2E27" w:rsidRPr="00D73CF1" w:rsidRDefault="006C2E27" w:rsidP="006C2E27">
      <w:pPr>
        <w:pStyle w:val="Akapitzlist"/>
        <w:numPr>
          <w:ilvl w:val="2"/>
          <w:numId w:val="3"/>
        </w:numPr>
        <w:tabs>
          <w:tab w:val="left" w:pos="851"/>
        </w:tabs>
        <w:spacing w:after="120" w:line="24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ze strony Wykonawcy: ……………………………….</w:t>
      </w:r>
    </w:p>
    <w:p w:rsidR="006C2E27" w:rsidRPr="00D73CF1" w:rsidRDefault="006C2E27" w:rsidP="006C2E27">
      <w:pPr>
        <w:widowControl w:val="0"/>
        <w:numPr>
          <w:ilvl w:val="0"/>
          <w:numId w:val="11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jest zobowiązany na bieżąco udzielać Zamawiającemu informacji o realizacji zamówienia, w szczególności jest zobowiązany niezwłocznie informować Zamawiającego o wszelkich trudnościach i zagrożeniach dla należytego i terminowego wykonania niniejszej umowy.</w:t>
      </w:r>
    </w:p>
    <w:p w:rsidR="006C2E27" w:rsidRPr="00D73CF1" w:rsidRDefault="006C2E27" w:rsidP="006C2E27">
      <w:pPr>
        <w:widowControl w:val="0"/>
        <w:numPr>
          <w:ilvl w:val="0"/>
          <w:numId w:val="11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jest zobowiązany wykonywać zamówienie zgodnie z SIWZ, a także z uzgodnieniami dokonanymi z przedstawicielami Zamawiającego.</w:t>
      </w:r>
    </w:p>
    <w:p w:rsidR="006C2E27" w:rsidRPr="00D73CF1" w:rsidRDefault="006C2E27" w:rsidP="006C2E27">
      <w:pPr>
        <w:widowControl w:val="0"/>
        <w:numPr>
          <w:ilvl w:val="0"/>
          <w:numId w:val="11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Uzgodnienia mogą być przez przedstawicieli stron dokonywane pisemnie lub za pośrednictwem poczty elektronicznej.</w:t>
      </w:r>
    </w:p>
    <w:p w:rsidR="006C2E27" w:rsidRPr="00D73CF1" w:rsidRDefault="006C2E27" w:rsidP="006C2E27">
      <w:pPr>
        <w:widowControl w:val="0"/>
        <w:numPr>
          <w:ilvl w:val="0"/>
          <w:numId w:val="11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Przedstawiciele stron określeni w ust. 1 są upoważnieni do podpisania protokołów odbioru.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§ 3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Odbiory</w:t>
      </w:r>
    </w:p>
    <w:p w:rsidR="006C2E27" w:rsidRPr="00D73CF1" w:rsidRDefault="006C2E27" w:rsidP="006C2E27">
      <w:pPr>
        <w:pStyle w:val="Akapitzlist"/>
        <w:numPr>
          <w:ilvl w:val="3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 xml:space="preserve">Wykonawca zawiadomi Zamawiającego o dostawie przedmiotu umowy z przynajmniej jednodniowym wyprzedzeniem. </w:t>
      </w:r>
    </w:p>
    <w:p w:rsidR="006C2E27" w:rsidRPr="00D73CF1" w:rsidRDefault="006C2E27" w:rsidP="006C2E27">
      <w:pPr>
        <w:pStyle w:val="Akapitzlist"/>
        <w:numPr>
          <w:ilvl w:val="3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Strony postanawiają, że z czynności odbioru będzie spisany protokół odbioru, zawierające wszelkie ustalenia dokonane w toku odbioru, jak też terminy wyznaczone na usunięcie wad stwierdzonych przy odbiorze.</w:t>
      </w:r>
    </w:p>
    <w:p w:rsidR="006C2E27" w:rsidRPr="00D73CF1" w:rsidRDefault="006C2E27" w:rsidP="006C2E27">
      <w:pPr>
        <w:pStyle w:val="Akapitzlist"/>
        <w:numPr>
          <w:ilvl w:val="3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 xml:space="preserve">Jeżeli w toku czynności odbioru zostaną stwierdzone wady, to Zamawiającemu przysługują następujące uprawnienia: </w:t>
      </w:r>
    </w:p>
    <w:p w:rsidR="006C2E27" w:rsidRPr="00D73CF1" w:rsidRDefault="006C2E27" w:rsidP="006C2E27">
      <w:pPr>
        <w:pStyle w:val="Akapitzlist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Jeżeli wady są możliwe do usunięcia to:</w:t>
      </w:r>
    </w:p>
    <w:p w:rsidR="006C2E27" w:rsidRPr="00D73CF1" w:rsidRDefault="006C2E27" w:rsidP="006C2E27">
      <w:pPr>
        <w:pStyle w:val="Akapitzlist"/>
        <w:numPr>
          <w:ilvl w:val="0"/>
          <w:numId w:val="16"/>
        </w:numPr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jeżeli są nieistotne i pozwalają na użytkowanie przedmiotu zamówienia w sposób odpowiadający ich właściwościom i przeznaczeniu – wówczas nastąpi odbiór, spisany zostanie protokół odbioru w którym Zamawiający wyznaczy Wykonawcy termin na usunięcie stwierdzonych wad – nie dłuższy jednak niż 3 dni robocze od tego dnia;</w:t>
      </w:r>
    </w:p>
    <w:p w:rsidR="006C2E27" w:rsidRPr="00D73CF1" w:rsidRDefault="006C2E27" w:rsidP="006C2E27">
      <w:pPr>
        <w:pStyle w:val="Akapitzlist"/>
        <w:numPr>
          <w:ilvl w:val="0"/>
          <w:numId w:val="16"/>
        </w:numPr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lastRenderedPageBreak/>
        <w:t xml:space="preserve">jeżeli są istotne i nie pozwalają na użytkowanie przedmiotu zamówienia w sposób odpowiadający ich właściwościom i przeznaczeniu wówczas Zamawiający odmówi dokonania odbioru, wyznaczając Wykonawcy termin Zamawiający wyznaczy nowy termin odbioru – nie dłuższy jednak niż 3 dni roboczych od tego dnia; </w:t>
      </w:r>
    </w:p>
    <w:p w:rsidR="006C2E27" w:rsidRPr="00D73CF1" w:rsidRDefault="006C2E27" w:rsidP="006C2E27">
      <w:pPr>
        <w:pStyle w:val="Akapitzlist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91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 xml:space="preserve">jeżeli wady nie są możliwe do usunięcia albo gdy z okoliczności wynika, że Wykonawca nie zdoła ich usunąć w czasie określonym odpowiednio w pkt 1 lit. a) lub b) to: </w:t>
      </w:r>
    </w:p>
    <w:p w:rsidR="006C2E27" w:rsidRPr="00D73CF1" w:rsidRDefault="006C2E27" w:rsidP="006C2E27">
      <w:pPr>
        <w:pStyle w:val="Akapitzlist"/>
        <w:numPr>
          <w:ilvl w:val="0"/>
          <w:numId w:val="15"/>
        </w:numPr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jeżeli są nieistotne i nie uniemożliwiają one użytkowania przedmiotu zamówienia w sposób odpowiadający ich właściwościom i przeznaczeniu i Zamawiający wyrazi zgodę na użytkowanie – wówczas Zamawiający zastrzega sobie prawo do jednostronnego obniżenia wynagrodzenia odpowiednio do utraconej wartości użytkowej, estetycznej lub technicznej przedmiotu zamówienia;</w:t>
      </w:r>
    </w:p>
    <w:p w:rsidR="006C2E27" w:rsidRPr="00D73CF1" w:rsidRDefault="006C2E27" w:rsidP="006C2E27">
      <w:pPr>
        <w:pStyle w:val="Akapitzlist"/>
        <w:numPr>
          <w:ilvl w:val="0"/>
          <w:numId w:val="15"/>
        </w:numPr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jeżeli są istotne i uniemożliwiają użytkowanie przedmiotu zamówienia w sposób odpowiadający ich właściwościom i przeznaczeniu – wówczas Zamawiający może w tym zakresie odstąpić od umowy.</w:t>
      </w:r>
    </w:p>
    <w:p w:rsidR="006C2E27" w:rsidRPr="00D73CF1" w:rsidRDefault="006C2E27" w:rsidP="006C2E27">
      <w:pPr>
        <w:numPr>
          <w:ilvl w:val="3"/>
          <w:numId w:val="13"/>
        </w:numPr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 razie należytego usunięcia przez Wykonawcę wad przedmiotu zamówienia w terminach wyznaczonych zgodnie z ust. 3 pkt 1 lit a) lub b) będzie się poczytywało, że przedmiot zamówienia został wykonany w terminie zgodnym z umową.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§ 4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Wynagrodzenie</w:t>
      </w:r>
    </w:p>
    <w:p w:rsidR="006C2E27" w:rsidRPr="00D73CF1" w:rsidRDefault="006C2E27" w:rsidP="006C2E27">
      <w:pPr>
        <w:widowControl w:val="0"/>
        <w:numPr>
          <w:ilvl w:val="1"/>
          <w:numId w:val="5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Za wykonanie przedmiotu umowy przez Wykonawcę należne mu będzie wynagrodzenie, zgodnie z ofertą Wykonawcy, w kwocie brutto …….. zł (słownie: …………), w tym netto: ……………. zł (słownie: ………………… zł) oraz podatek VAT według obowiązującej stawki: ……………… zł (słownie: ……………… zł).</w:t>
      </w:r>
    </w:p>
    <w:p w:rsidR="006C2E27" w:rsidRPr="00D73CF1" w:rsidRDefault="006C2E27" w:rsidP="006C2E27">
      <w:pPr>
        <w:widowControl w:val="0"/>
        <w:numPr>
          <w:ilvl w:val="1"/>
          <w:numId w:val="5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Podstawą wystawienia faktury za wykonanie zamówienia będzie podpisany przez przedstawicieli Zamawiającego i Wykonawcy protokołu odbioru, sporządzony zgodnie z zasadami określonymi w § 3 umowy, potwierdzające wykonanie przez Wykonawcę wszystkich świadczeń przewidzianych w umowie.</w:t>
      </w:r>
    </w:p>
    <w:p w:rsidR="006C2E27" w:rsidRPr="00D73CF1" w:rsidRDefault="006C2E27" w:rsidP="006C2E27">
      <w:pPr>
        <w:widowControl w:val="0"/>
        <w:numPr>
          <w:ilvl w:val="1"/>
          <w:numId w:val="5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Termin zapłaty wynagrodzenia wynosi 14 dni licząc od daty doręczenia Zamawiającemu faktury wystawionej zgodnie z postanowieniami umowy.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§ 5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Rękojmia i gwarancja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udziela na przedmiot zamówienia rękojmi za wady i gwarancji jakości na okres o …… [uzupełnić zgodnie z SIWZ i ofertą Wykonawcy] miesięcy od dnia dokonania odbioru. Wykonawca zapewnia także gwarancję jakości producentów dostarczanych urządzeń na okres …….. [uzupełnić zgodnie z SIWZ i ofertą Wykonawcy] miesięcy od dnia dokonania odbioru.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 przypadku stwierdzenia wad trakcie eksploatacji, Zamawiający niezwłocznie powiadomi Wykonawcę o tym fakcie pisemnie lub za pomocą poczty elektronicznej na adres ……… lub faksu ………… (reklamacja). Wykonawca jest zobowiązany niezwłocznie potwierdzić Zamawiającemu przyjęcie reklamacji.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zapewnia Zamawiającemu dostęp do pomocy technicznej (telefon, e-mail lub WWW) w zakresie rozwiązywania problemów związanych z bieżącą eksploatacją dostarczonego sprzętu w godzinach pracy Zamawiającego.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jest zobowiązany do przysłania serwisu na miejsce zgłoszenia awarii w następnym dniu roboczym.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jest zobowiązany do niezwłocznego usunięcia wady, nie później jednak niż w ciągu 7 dni roboczych od dnia otrzymania reklamacji. W uzasadnionych przypadkach Zamawiający może wyrazić zgodę na wydłużenie terminu na usunięcie wady.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 xml:space="preserve">Usunięcie wady powinno zostać dokonane w siedzibie Zamawiającego. W przypadkach, gdy usunięcie wady w siedzibie Zamawiającego nie będzie możliwe, Wykonawca będzie zobowiązany zapewnić demontaż, transport i ponowny montaż i ustawienie danego elementu </w:t>
      </w:r>
      <w:r w:rsidRPr="00D73CF1">
        <w:rPr>
          <w:rFonts w:ascii="Verdana" w:hAnsi="Verdana"/>
          <w:sz w:val="18"/>
          <w:szCs w:val="18"/>
        </w:rPr>
        <w:lastRenderedPageBreak/>
        <w:t>przedmiotu umowy na koszt własny. W przypadku konieczności napraw poza siedzibą Zamawiającego, wykonawca dostarczy na żądanie użytkownika na czas naprawy sprzęt zastępczy o nie gorszych parametrach. Naprawa w takim przypadku nie może przekroczyć okresu 1 miesiąca od momentu zgłoszenia usterki.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 przypadku 2-krotnej naprawy tego samego elementu w urządzeniu, który spowodował utratę funkcji użytkowej urządzenia Wykonawca wymieni część lub zespół urządzenia w skład, którego wchodzi ten element na nowy, wolny od wad.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 przypadku 2-krotnej naprawy urządzenia o tych samych objawach uszkodzenia, Wykonawca wymieni urządzenie na nowe, wolne od wad.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 uzasadnionych przypadkach termin usunięcia wady może być przedłużony za zgodą Zamawiającego.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Okres gwarancji ulega przedłużeniu o czas naprawy.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Okres gwarancji biegnie na nowo dla sprzętu (elementu) wymienionego.</w:t>
      </w:r>
    </w:p>
    <w:p w:rsidR="006C2E27" w:rsidRPr="00D73CF1" w:rsidRDefault="006C2E27" w:rsidP="006C2E27">
      <w:pPr>
        <w:widowControl w:val="0"/>
        <w:numPr>
          <w:ilvl w:val="1"/>
          <w:numId w:val="6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Niniejsza umowa stanowi dokument gwarancyjny w rozumieniu art. 577 § 1 Kodeksu cywilnego.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§ 6</w:t>
      </w:r>
    </w:p>
    <w:p w:rsidR="006C2E27" w:rsidRPr="00D73CF1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D73CF1">
        <w:rPr>
          <w:rFonts w:ascii="Verdana" w:hAnsi="Verdana"/>
          <w:b/>
          <w:sz w:val="18"/>
          <w:szCs w:val="18"/>
        </w:rPr>
        <w:t>Zasady odpowiedzialności</w:t>
      </w:r>
    </w:p>
    <w:p w:rsidR="006C2E27" w:rsidRPr="00D73CF1" w:rsidRDefault="006C2E27" w:rsidP="006C2E27">
      <w:pPr>
        <w:widowControl w:val="0"/>
        <w:numPr>
          <w:ilvl w:val="1"/>
          <w:numId w:val="7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zapłaci Zamawiającemu następujące kary umowne:</w:t>
      </w:r>
    </w:p>
    <w:p w:rsidR="006C2E27" w:rsidRPr="00D73CF1" w:rsidRDefault="006C2E27" w:rsidP="006C2E27">
      <w:pPr>
        <w:widowControl w:val="0"/>
        <w:numPr>
          <w:ilvl w:val="2"/>
          <w:numId w:val="9"/>
        </w:numPr>
        <w:tabs>
          <w:tab w:val="left" w:pos="851"/>
        </w:tabs>
        <w:overflowPunct w:val="0"/>
        <w:adjustRightInd w:val="0"/>
        <w:spacing w:after="12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za zwłokę w wykonaniu przedmiotu zamówienia – w wysokości 1% wynagrodzenia określonego w § 4 ust. 1 umowy za każdy dzień zwłoki w stosunku do terminu ustalonego w § 1 ust. 3,</w:t>
      </w:r>
    </w:p>
    <w:p w:rsidR="006C2E27" w:rsidRPr="00D73CF1" w:rsidRDefault="006C2E27" w:rsidP="006C2E27">
      <w:pPr>
        <w:widowControl w:val="0"/>
        <w:numPr>
          <w:ilvl w:val="2"/>
          <w:numId w:val="9"/>
        </w:numPr>
        <w:tabs>
          <w:tab w:val="left" w:pos="851"/>
        </w:tabs>
        <w:overflowPunct w:val="0"/>
        <w:adjustRightInd w:val="0"/>
        <w:spacing w:after="12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za zwłokę w usunięciu wad przedmiotu zamówienia w ramach gwarancji lub rękojmi – w wysokości 1% wynagrodzenia określonego w § 4 ust. 1 za każdy dzień zwłoki w stosunku do terminu ustalonego w § 5,</w:t>
      </w:r>
    </w:p>
    <w:p w:rsidR="006C2E27" w:rsidRPr="00D73CF1" w:rsidRDefault="006C2E27" w:rsidP="006C2E27">
      <w:pPr>
        <w:widowControl w:val="0"/>
        <w:numPr>
          <w:ilvl w:val="2"/>
          <w:numId w:val="9"/>
        </w:numPr>
        <w:tabs>
          <w:tab w:val="left" w:pos="851"/>
        </w:tabs>
        <w:overflowPunct w:val="0"/>
        <w:adjustRightInd w:val="0"/>
        <w:spacing w:after="12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za odstąpienie przez Zamawiającego od umowy, z przyczyn leżących po stronie Wykonawcy – w wysokości 10% wynagrodzenia brutto wskazanego w § 4 ust. 1. W przypadku odstąpienia częściowego kara umowna będzie naliczana od odpowiedniej części wynagrodzenia.</w:t>
      </w:r>
    </w:p>
    <w:p w:rsidR="006C2E27" w:rsidRPr="00D73CF1" w:rsidRDefault="006C2E27" w:rsidP="006C2E27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Kary umowne, o których mowa w ust. 1, mogą być potrącane z wynagrodzenia Wykonawcy, o którym mowa w § 4 ust. 1 umowy.</w:t>
      </w:r>
    </w:p>
    <w:p w:rsidR="006C2E27" w:rsidRPr="002D53BB" w:rsidRDefault="006C2E27" w:rsidP="006C2E27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73CF1">
        <w:rPr>
          <w:rFonts w:ascii="Verdana" w:hAnsi="Verdana"/>
          <w:sz w:val="18"/>
          <w:szCs w:val="18"/>
        </w:rPr>
        <w:t>Wykonawca odpowiedzialny jest jak za własne działanie lub zaniechanie za działania i zaniechania osób, z których pomocą zobowiązanie wykonuje, jak również osób, którym wykonanie zobowiązani</w:t>
      </w:r>
      <w:r w:rsidRPr="002D53BB">
        <w:rPr>
          <w:rFonts w:ascii="Verdana" w:hAnsi="Verdana"/>
          <w:sz w:val="18"/>
          <w:szCs w:val="18"/>
        </w:rPr>
        <w:t>a powierza.</w:t>
      </w:r>
    </w:p>
    <w:p w:rsidR="006C2E27" w:rsidRPr="002D53BB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2D53BB">
        <w:rPr>
          <w:rFonts w:ascii="Verdana" w:hAnsi="Verdana"/>
          <w:b/>
          <w:sz w:val="18"/>
          <w:szCs w:val="18"/>
        </w:rPr>
        <w:t>§ 7</w:t>
      </w:r>
    </w:p>
    <w:p w:rsidR="006C2E27" w:rsidRPr="002D53BB" w:rsidRDefault="006C2E27" w:rsidP="006C2E2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2D53BB">
        <w:rPr>
          <w:rFonts w:ascii="Verdana" w:hAnsi="Verdana"/>
          <w:b/>
          <w:sz w:val="18"/>
          <w:szCs w:val="18"/>
        </w:rPr>
        <w:t>Postanowienia końcowe</w:t>
      </w:r>
    </w:p>
    <w:p w:rsidR="006C2E27" w:rsidRPr="002D53BB" w:rsidRDefault="006C2E27" w:rsidP="006C2E27">
      <w:pPr>
        <w:widowControl w:val="0"/>
        <w:numPr>
          <w:ilvl w:val="0"/>
          <w:numId w:val="12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Zamawiający, niezależnie od uprawnień do odstąpienia od umowy przysługujących Stronom w przepisach prawa, może odstąpić od umowy w całości lub części w następujących przypadkach: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overflowPunct w:val="0"/>
        <w:adjustRightInd w:val="0"/>
        <w:spacing w:after="120" w:line="24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w przypadku, gdy ze względu na datę zakończenia postępowania przetargowego lub datę, w której możliwe będzie zawarcie umowy, czas na realizację umowy nie będzie gwarantować wykonania zamówienia w terminie umożliwiającym rozliczenie wykonanego zamówienia w ramach dotacji celowej uzyskanej na sfinansowanie przedmiotu zamówienia,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overflowPunct w:val="0"/>
        <w:adjustRightInd w:val="0"/>
        <w:spacing w:after="120" w:line="24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jeżeli Wykonawca będzie opóźniać się z rozpoczęciem lub wykonaniem zamówienia tak dalece, że nie jest prawdopodobne, żeby zdołał je ukończyć w czasie umówionym, zamawiający może bez wyznaczenia terminu dodatkowego odstąpić od umowy, w tym jeszcze przed upływem terminu do wykonania zamówienia.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W przypadku, o którym mowa w ust. 1 pkt 1) wynagrodzenie przysługujące Wykonawcy zostanie odpowiednio pomniejszone, przy czym Zamawiający zapłaci za wszystkie spełnione świadczenia oraz udokumentowane koszty, które Wykonawca poniósł w związku z wynikającymi z umowy planowanymi świadczeniami.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lastRenderedPageBreak/>
        <w:t>Zamawiający, niezależnie od uprawnień do dokonania zmian umowy określonych w art. 144 ustawy Prawo zamówień publicznych, przewiduje możliwość dokonania zmian niniejszej umowy w następującym zakresie: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21"/>
        </w:numPr>
        <w:overflowPunct w:val="0"/>
        <w:adjustRightInd w:val="0"/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zmiana polegająca na dostarczeniu innych,  niż wskazane w ofercie komponentów, pod warunkiem, że te inne komponenty spełniają warunki określone w SIWZ w stopniu nie gorszym – gdy z przyczyn niezależnych od Wykonawcy nie jest możliwe dostarczenie wskazanych w ofercie komponentów, w szczególności w razie wycofania ze sprzedaży w związku z wyprodukowaniem nowszej wersji lub braku dostępności komponentów na rynku;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21"/>
        </w:numPr>
        <w:overflowPunct w:val="0"/>
        <w:adjustRightInd w:val="0"/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ograniczenie zakresu umowy – przez jednostronne oświadczenie Zamawiającego i związaną z tym zmianę wynagrodzenia. W takim przypadku wynagrodzenie przysługujące Wykonawcy zostanie odpowiednio pomniejszone, przy czym Zamawiający zapłaci za wszystkie spełnione świadczenia oraz udokumentowane koszty, które Wykonawca poniósł w związku z wynikającymi z umowy planowanymi świadczeniami.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Wszelkie zmiany i uzupełnienia niniejszej umowy oraz odstąpienie od niej wymagają formy pisemnej pod rygorem nieważności.</w:t>
      </w:r>
    </w:p>
    <w:p w:rsidR="006C2E27" w:rsidRPr="002D53BB" w:rsidRDefault="006C2E27" w:rsidP="006C2E27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Wszelkie spory powstałe w związku z niniejszą umową, jeśli nie zostały rozwiązane drogą negocjacji, będą rozstrzygane przez sąd powszechny, właściwy dla siedziby Zamawiającego.</w:t>
      </w:r>
    </w:p>
    <w:p w:rsidR="006C2E27" w:rsidRPr="002D53BB" w:rsidRDefault="006C2E27" w:rsidP="006C2E27">
      <w:pPr>
        <w:widowControl w:val="0"/>
        <w:numPr>
          <w:ilvl w:val="0"/>
          <w:numId w:val="12"/>
        </w:numPr>
        <w:overflowPunct w:val="0"/>
        <w:adjustRightInd w:val="0"/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W sprawach nieuregulowanych niniejszą umową stosuje się przepisy Kodeksu cywilnego i ustawy Prawo zamówień publicznych.</w:t>
      </w:r>
    </w:p>
    <w:p w:rsidR="006C2E27" w:rsidRPr="002D53BB" w:rsidRDefault="006C2E27" w:rsidP="006C2E27">
      <w:pPr>
        <w:pStyle w:val="Akapitzlist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D53BB">
        <w:rPr>
          <w:rFonts w:ascii="Verdana" w:hAnsi="Verdana"/>
          <w:sz w:val="18"/>
          <w:szCs w:val="18"/>
        </w:rPr>
        <w:t>Umowę sporządzono w trzech jednobrzmiących egzemplarzach, dwa dla Zamawiającego oraz jeden dla Wykonawcy.</w:t>
      </w:r>
    </w:p>
    <w:p w:rsidR="006C2E27" w:rsidRPr="002D53BB" w:rsidRDefault="006C2E27" w:rsidP="006C2E27">
      <w:pPr>
        <w:pStyle w:val="Akapitzlist"/>
        <w:spacing w:after="120" w:line="240" w:lineRule="auto"/>
        <w:ind w:left="426"/>
        <w:contextualSpacing w:val="0"/>
        <w:jc w:val="right"/>
        <w:rPr>
          <w:rFonts w:ascii="Verdana" w:hAnsi="Verdana"/>
          <w:sz w:val="20"/>
          <w:szCs w:val="20"/>
        </w:rPr>
      </w:pPr>
      <w:r w:rsidRPr="002D53BB">
        <w:rPr>
          <w:rFonts w:ascii="Verdana" w:hAnsi="Verdana"/>
          <w:sz w:val="18"/>
          <w:szCs w:val="18"/>
        </w:rPr>
        <w:br w:type="page"/>
      </w:r>
      <w:r w:rsidRPr="002D53BB">
        <w:rPr>
          <w:rFonts w:ascii="Verdana" w:hAnsi="Verdana"/>
          <w:sz w:val="20"/>
          <w:szCs w:val="20"/>
        </w:rPr>
        <w:lastRenderedPageBreak/>
        <w:t>Załącznik nr 5</w:t>
      </w:r>
    </w:p>
    <w:p w:rsidR="006C2E27" w:rsidRPr="002D53BB" w:rsidRDefault="006C2E27" w:rsidP="006C2E27">
      <w:pPr>
        <w:pStyle w:val="Akapitzlist"/>
        <w:spacing w:after="120" w:line="240" w:lineRule="auto"/>
        <w:ind w:left="426"/>
        <w:contextualSpacing w:val="0"/>
        <w:jc w:val="right"/>
        <w:rPr>
          <w:rFonts w:ascii="Verdana" w:hAnsi="Verdana"/>
          <w:sz w:val="20"/>
          <w:szCs w:val="20"/>
        </w:rPr>
      </w:pPr>
    </w:p>
    <w:p w:rsidR="006C2E27" w:rsidRPr="002D53BB" w:rsidRDefault="006C2E27" w:rsidP="006C2E27">
      <w:pPr>
        <w:pStyle w:val="Akapitzlist"/>
        <w:spacing w:after="120" w:line="240" w:lineRule="auto"/>
        <w:ind w:left="426"/>
        <w:contextualSpacing w:val="0"/>
        <w:jc w:val="center"/>
        <w:rPr>
          <w:rFonts w:ascii="Verdana" w:hAnsi="Verdana"/>
          <w:sz w:val="20"/>
          <w:szCs w:val="20"/>
        </w:rPr>
      </w:pPr>
      <w:r w:rsidRPr="002D53BB">
        <w:rPr>
          <w:rFonts w:ascii="Verdana" w:hAnsi="Verdana"/>
          <w:sz w:val="20"/>
          <w:szCs w:val="20"/>
        </w:rPr>
        <w:t>Szczegółowy opis przedmiotu zamówienia</w:t>
      </w:r>
    </w:p>
    <w:p w:rsidR="006C2E27" w:rsidRPr="002D53BB" w:rsidRDefault="006C2E27" w:rsidP="006C2E27">
      <w:pPr>
        <w:pStyle w:val="Akapitzlist"/>
        <w:spacing w:after="12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</w:p>
    <w:p w:rsidR="006C2E27" w:rsidRPr="002D53BB" w:rsidRDefault="006C2E27" w:rsidP="006C2E27">
      <w:pPr>
        <w:pStyle w:val="Akapitzlist"/>
        <w:spacing w:after="12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2D53BB">
        <w:rPr>
          <w:rFonts w:ascii="Verdana" w:hAnsi="Verdana"/>
          <w:b/>
          <w:sz w:val="20"/>
          <w:szCs w:val="20"/>
        </w:rPr>
        <w:t>Wymogi wspólne dla wszystkich części:</w:t>
      </w:r>
    </w:p>
    <w:p w:rsidR="006C2E27" w:rsidRPr="002D53BB" w:rsidRDefault="006C2E27" w:rsidP="006C2E27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6C2E27" w:rsidRPr="002D53BB" w:rsidRDefault="006C2E27" w:rsidP="006C2E27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2D53BB">
        <w:rPr>
          <w:rFonts w:ascii="Verdana" w:hAnsi="Verdana"/>
          <w:sz w:val="20"/>
          <w:szCs w:val="20"/>
        </w:rPr>
        <w:t>- Serwis Gwarancyjny – jeśli producent wymaga,</w:t>
      </w:r>
    </w:p>
    <w:p w:rsidR="006C2E27" w:rsidRPr="002D53BB" w:rsidRDefault="006C2E27" w:rsidP="006C2E27">
      <w:pPr>
        <w:pStyle w:val="Akapitzlist"/>
        <w:spacing w:after="0" w:line="240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2D53BB">
        <w:rPr>
          <w:rFonts w:ascii="Verdana" w:hAnsi="Verdana"/>
          <w:sz w:val="20"/>
          <w:szCs w:val="20"/>
        </w:rPr>
        <w:t>- Szkolenie (montaż/demontaż/użytkowanie) dla  maksymalnie  10 osób,</w:t>
      </w:r>
    </w:p>
    <w:p w:rsidR="006C2E27" w:rsidRPr="002D53BB" w:rsidRDefault="006C2E27" w:rsidP="006C2E27">
      <w:pPr>
        <w:pStyle w:val="Akapitzlist"/>
        <w:spacing w:after="0" w:line="240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2D53BB">
        <w:rPr>
          <w:rFonts w:ascii="Verdana" w:hAnsi="Verdana"/>
          <w:sz w:val="20"/>
          <w:szCs w:val="20"/>
        </w:rPr>
        <w:t>- Gwarancja jakości producentów oraz rękojmia za wady i gwarancja jakości Wykonawcy – minimum 24 m-ce od dnia odbioru</w:t>
      </w:r>
    </w:p>
    <w:p w:rsidR="006C2E27" w:rsidRPr="002D53BB" w:rsidRDefault="006C2E27" w:rsidP="006C2E27">
      <w:pPr>
        <w:rPr>
          <w:rFonts w:ascii="Verdana" w:hAnsi="Verdana"/>
          <w:b/>
          <w:sz w:val="20"/>
          <w:szCs w:val="20"/>
        </w:rPr>
      </w:pPr>
    </w:p>
    <w:p w:rsidR="006C2E27" w:rsidRPr="002D53BB" w:rsidRDefault="006C2E27" w:rsidP="006C2E27">
      <w:pPr>
        <w:rPr>
          <w:rFonts w:ascii="Verdana" w:hAnsi="Verdana"/>
          <w:b/>
          <w:sz w:val="20"/>
          <w:szCs w:val="20"/>
        </w:rPr>
      </w:pPr>
      <w:r w:rsidRPr="002D53BB">
        <w:rPr>
          <w:rFonts w:ascii="Verdana" w:hAnsi="Verdana"/>
          <w:b/>
          <w:sz w:val="20"/>
          <w:szCs w:val="20"/>
        </w:rPr>
        <w:t>Część 1:</w:t>
      </w:r>
    </w:p>
    <w:p w:rsidR="006C2E27" w:rsidRPr="002D53BB" w:rsidRDefault="006C2E27" w:rsidP="006C2E27">
      <w:pPr>
        <w:pStyle w:val="Standard"/>
        <w:rPr>
          <w:rFonts w:ascii="Verdana" w:hAnsi="Verdana"/>
          <w:sz w:val="20"/>
          <w:szCs w:val="20"/>
        </w:rPr>
      </w:pPr>
      <w:r w:rsidRPr="002D53BB">
        <w:rPr>
          <w:rFonts w:ascii="Verdana" w:hAnsi="Verdana"/>
          <w:sz w:val="20"/>
          <w:szCs w:val="20"/>
        </w:rPr>
        <w:t>SCENA MOBILNA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Typ dachu - Łukowy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Wymiary sceny po rozłożeniu - 8 m (szerokość) x 6 m głębokość oraz minimalne 5,5 m wysokości (tolerancja =/- 10%)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Sposób podnoszenia dachu: na bazie 4 siłowników hydraulicznych i dzielnika strumienia zasilanych elektro pompą na prąd 230V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Sposób poziomowania podłogi – na bazie 4 siłowników hydraulicznych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Podłoga sceny antypoślizgowa, wodoodporna, trudno zapalna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Plandeka Atestowana (PCV), trudno zapalna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Podesty/dźwigary nagłośnieniowe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 xml:space="preserve">Inteligentny system podnoszenia dachu (podnoszenie dachu po uprzednim zainstalowaniu oświetlenia scenicznego)  </w:t>
      </w:r>
      <w:r w:rsidRPr="002D53BB">
        <w:rPr>
          <w:rFonts w:ascii="Verdana" w:hAnsi="Verdana"/>
        </w:rPr>
        <w:tab/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Schody z regulowanym kątem natarcia stopni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>Barierki z tyłu i z boków sceny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 xml:space="preserve">Drabina </w:t>
      </w:r>
      <w:r w:rsidRPr="002D53BB">
        <w:rPr>
          <w:rFonts w:ascii="Verdana" w:hAnsi="Verdana"/>
        </w:rPr>
        <w:tab/>
        <w:t>Tak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  <w:r w:rsidRPr="002D53BB">
        <w:rPr>
          <w:rFonts w:ascii="Verdana" w:hAnsi="Verdana"/>
        </w:rPr>
        <w:t xml:space="preserve">Odciągi </w:t>
      </w:r>
      <w:r w:rsidRPr="002D53BB">
        <w:rPr>
          <w:rFonts w:ascii="Verdana" w:hAnsi="Verdana"/>
        </w:rPr>
        <w:tab/>
        <w:t>Tak</w:t>
      </w:r>
    </w:p>
    <w:p w:rsidR="006C2E27" w:rsidRPr="002D53BB" w:rsidRDefault="006C2E27" w:rsidP="006C2E27">
      <w:pPr>
        <w:pStyle w:val="Zwykytekst"/>
        <w:rPr>
          <w:rFonts w:ascii="Verdana" w:hAnsi="Verdana"/>
          <w:lang w:val="pl-PL"/>
        </w:rPr>
      </w:pPr>
      <w:r w:rsidRPr="002D53BB">
        <w:rPr>
          <w:rFonts w:ascii="Verdana" w:hAnsi="Verdana"/>
        </w:rPr>
        <w:t xml:space="preserve">Podkładki pod stopy </w:t>
      </w:r>
      <w:r w:rsidRPr="002D53BB">
        <w:rPr>
          <w:rFonts w:ascii="Verdana" w:hAnsi="Verdana"/>
        </w:rPr>
        <w:tab/>
        <w:t>20 szt.</w:t>
      </w:r>
    </w:p>
    <w:p w:rsidR="006C2E27" w:rsidRPr="002D53BB" w:rsidRDefault="006C2E27" w:rsidP="006C2E27">
      <w:pPr>
        <w:pStyle w:val="Zwykytekst"/>
        <w:rPr>
          <w:rFonts w:ascii="Verdana" w:hAnsi="Verdana"/>
          <w:lang w:val="pl-PL"/>
        </w:rPr>
      </w:pPr>
      <w:r w:rsidRPr="002D53BB">
        <w:rPr>
          <w:rFonts w:ascii="Verdana" w:hAnsi="Verdana"/>
          <w:lang w:val="pl-PL"/>
        </w:rPr>
        <w:t>Rampa dla niepełnosprawnych</w:t>
      </w:r>
    </w:p>
    <w:p w:rsidR="006C2E27" w:rsidRPr="002D53BB" w:rsidRDefault="006C2E27" w:rsidP="006C2E27">
      <w:pPr>
        <w:pStyle w:val="Zwykytekst"/>
        <w:rPr>
          <w:rFonts w:ascii="Verdana" w:hAnsi="Verdana"/>
        </w:rPr>
      </w:pPr>
    </w:p>
    <w:p w:rsidR="006C2E27" w:rsidRPr="002D53BB" w:rsidRDefault="006C2E27" w:rsidP="006C2E27">
      <w:pPr>
        <w:pStyle w:val="Zwykytekst"/>
        <w:rPr>
          <w:rFonts w:ascii="Verdana" w:hAnsi="Verdana"/>
          <w:u w:val="single"/>
          <w:lang w:val="pl-PL"/>
        </w:rPr>
      </w:pPr>
      <w:r w:rsidRPr="002D53BB">
        <w:rPr>
          <w:rFonts w:ascii="Verdana" w:hAnsi="Verdana"/>
          <w:u w:val="single"/>
          <w:lang w:val="pl-PL"/>
        </w:rPr>
        <w:t>Parametry dodatkowe (punktowane dodatkowo w kryterium pozacenowym):</w:t>
      </w:r>
    </w:p>
    <w:p w:rsidR="006C2E27" w:rsidRPr="002D53BB" w:rsidRDefault="006C2E27" w:rsidP="006C2E27">
      <w:pPr>
        <w:pStyle w:val="Zwykytekst"/>
        <w:rPr>
          <w:rFonts w:ascii="Verdana" w:hAnsi="Verdana"/>
          <w:lang w:val="pl-PL"/>
        </w:rPr>
      </w:pPr>
      <w:r w:rsidRPr="002D53BB">
        <w:rPr>
          <w:rFonts w:ascii="Verdana" w:hAnsi="Verdana"/>
          <w:lang w:val="pl-PL"/>
        </w:rPr>
        <w:t>Barierka ochronna stalowa, ocynkowana - typ lekki -  10 szt.</w:t>
      </w:r>
    </w:p>
    <w:p w:rsidR="006C2E27" w:rsidRPr="002D53BB" w:rsidRDefault="006C2E27" w:rsidP="006C2E27">
      <w:pPr>
        <w:pStyle w:val="Zwykytekst"/>
        <w:rPr>
          <w:rFonts w:ascii="Verdana" w:hAnsi="Verdana"/>
          <w:lang w:val="pl-PL"/>
        </w:rPr>
      </w:pPr>
    </w:p>
    <w:p w:rsidR="006C2E27" w:rsidRPr="002D53BB" w:rsidRDefault="006C2E27" w:rsidP="006C2E27">
      <w:pPr>
        <w:pStyle w:val="Zwykytekst"/>
        <w:rPr>
          <w:rFonts w:ascii="Verdana" w:hAnsi="Verdana"/>
          <w:b/>
          <w:lang w:val="pl-PL"/>
        </w:rPr>
      </w:pPr>
      <w:r w:rsidRPr="002D53BB">
        <w:rPr>
          <w:rFonts w:ascii="Verdana" w:hAnsi="Verdana"/>
          <w:b/>
          <w:lang w:val="pl-PL"/>
        </w:rPr>
        <w:t>Część 2:</w:t>
      </w:r>
    </w:p>
    <w:p w:rsidR="006C2E27" w:rsidRPr="002D53BB" w:rsidRDefault="006C2E27" w:rsidP="006C2E27">
      <w:pPr>
        <w:pStyle w:val="Zwykytekst"/>
        <w:rPr>
          <w:rFonts w:ascii="Verdana" w:hAnsi="Verdana"/>
          <w:b/>
          <w:lang w:val="pl-PL"/>
        </w:rPr>
      </w:pPr>
    </w:p>
    <w:p w:rsidR="006C2E27" w:rsidRPr="002D53BB" w:rsidRDefault="006C2E27" w:rsidP="006C2E27">
      <w:pPr>
        <w:pStyle w:val="Standard"/>
        <w:rPr>
          <w:rFonts w:ascii="Verdana" w:hAnsi="Verdana"/>
          <w:sz w:val="20"/>
          <w:szCs w:val="20"/>
        </w:rPr>
      </w:pPr>
      <w:r w:rsidRPr="002D53BB">
        <w:rPr>
          <w:rFonts w:ascii="Verdana" w:hAnsi="Verdana"/>
          <w:sz w:val="20"/>
          <w:szCs w:val="20"/>
        </w:rPr>
        <w:t>OŚWIETLENIE</w:t>
      </w:r>
    </w:p>
    <w:p w:rsidR="006C2E27" w:rsidRPr="002D53BB" w:rsidRDefault="006C2E27" w:rsidP="006C2E27">
      <w:pPr>
        <w:pStyle w:val="Standard"/>
        <w:rPr>
          <w:rFonts w:ascii="Verdana" w:eastAsia="Times New Roman" w:hAnsi="Verdana" w:cs="Arial"/>
          <w:color w:val="000000"/>
          <w:sz w:val="20"/>
          <w:szCs w:val="20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2156"/>
        <w:gridCol w:w="4593"/>
        <w:gridCol w:w="692"/>
      </w:tblGrid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asortyment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firma / model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reflektor LED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FLASH Led 14x10W RGBW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Pobór mocy  max 150W, Napięcie zasilania  100 - 245V, Typ diody  4w1, Ilość diod  14, Moc diody  10W, Wyświetlacz  LCD Matrycowy, Barwa  RGBW, Kąt świecenia 25°, Ściemnianie  Płynne: 0 - 100%, Ilość kanałów DMX  8 / 12 / 14, Standard DMX  DMX 512, Sterowanie  4 przyciski, Tryby pracy  DMX512, Auto, Sound-controlled, Manual color, Master, Slave</w:t>
            </w:r>
          </w:p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Funkcje  2 niezależnie sterowane sekcje LED, Regeneracja sygnału DMX, Elektroniczne zabezpieczenie przed przegrzaniem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AC IN  powerCON, AC OUT  powerCON, DMX IN  XLR - 3 pin, DMX OUT  XLR - 3 pin, Stopień ochrony IP  IP20, Rodzaj obudowy  ABS, Chłodzenie  Aktywne, kontrolowane temperaturą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reflektor LED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FLASH Led 18x10W RGBW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Pobór mocy  180W, Napięcie zasilania  110 - 240V, Częstotliwość napięcia  50/60Hz, Typ diody  4w1, Ilość diod  18, Moc diody  10W, Wyświetlacz  LED - 4 znaki, Barwa  RGBW, Ściemnianie  Płynne: 0 - 100%, Ilość kanałów DMX  4 / 8, Standard DMX  DMX 512, Sterowanie  4 przyciski, Tryby pracy  DMX, Automatyczny, Sterowanie dźwiękiem, Master / Slave, Statyczny kolor, Zmiana kolorów, Płynna zmiana kolorów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 xml:space="preserve">ZŁĄCZA  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AC IN  zintegroway przewód zasilający, DMX IN  XLR - 3 pin, DMX OUT  XLR - 3 pin, Stopień ochrony IP  IP20, Rodzaj obudowy  Aluminium, Chłodzenie  Aktywne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hak do urządzeń oświetleniowych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HAK ALUMINIOWY 200kg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Hak do instalowania projektorów i systemów świetlnych na rurowych konstrukcjach aluminiowych. Do wiązania systemów ze średnicą rury 50 mm. Błyskawiczna instalacja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udźwig do  200 kg. Waga maksymalna:  0.6 kg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30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Hazer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Flash Butrym HAZER DMX - REMOTE CONTROL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Moc napięcia: 230V, 50/60Hz. Pobór mocy: 1500W. 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 xml:space="preserve">Kanały DMX: 1. Wyświetlacz: LCD 2x8 symbols, blue backligh. 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Tryby pracy: DMX512, Auto, Manual. Funkcje: Bezprzewodowe zdalne sterowanie. System wykrywania niskiego poziomu płynu. Tryb mgiełki do stałej generacji płynu. Regeneracja sygnały DMX. Elektroniczna ochrona przeciwko przegrzaniu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Złącze zasilania: powerCON In, XLR-3pin In/Out. Różne połączenia do wyboru: XLR-3pin, XLR-5pin. Opcjonalny bezprzewodowy interfejs DMX. Chłodzenie: aktywny, kontrola temperatury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Płyn do powyższego hazera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Płyn do powyższego hazera.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5 litrów 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stroboskop LED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Stroboskop Showtec Ignitor 6 Led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Źródło światła: diody LED, barwa LED: Zimna biel. Zasilanie: 100-240V AC. Pobór mocy: 30W kontrola. Tryb sterowania: DMX 512. Kanały DMX: 7. Dimmer: 0-100% Strobe: 0-20Hz. Kąt świecenia: 62 stopni . Obudowa: aluminium. Kolor: Czarny. Złącza zasilające IEC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Złącza danych: XLR 3-BIEGUNOWY. Chłodzenie: Obudowa aluminium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Belka LED 1m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LED WASHER 18X12W 4in1 RGBW CREE 200W  3 sekcje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Zasilacz: 100-245V, 50/60Hz. Pobór mocy: 200W. Diody: 18x10W 4in1 RGBW. Kąt promienia: 25°. Sekcje LED: 3. Tryby pracy: DMX512, Auto, kontrola dźwięku, manualny kolor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Funkcje: Regeneracja sygnału DMX. Elektroniczna ochrona przeciwko przegrzaniu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standardowe interfejsy: powerCON In/Out, XLR-3pin In/Out. Różne połączenia do wyboru: XLR-3pin, XLR-5pin. Opcjonalny bezprzewodowy interfejs DMX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Chłodzenie: aktywne, kontrola temperatury, ogrzewanie (bez hałasu) tryb- do 26dB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Rozmiar: długość nie większa niż 1m, szerokość max 10cm, wysokość max 10cm.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DMX 10m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DMX 10m (XLRF, XLRM)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DMX (110 ohm), do zastosowań scenicznych (przewód wzmocniony - nie instalacyjnych). Złącza uznanego producenta.  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DMX 7,5m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DMX 7,5m (XLRF, XLRM)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DMX (110 ohm), do zastosowań scenicznych (przewód wzmocniony - nie instalacyjnych). Złącza uznanego producenta.  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DMX 5m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DMX 5m (XLRF, XLRM)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DMX (110 ohm), do zastosowań scenicznych (przewód wzmocniony - nie instalacyjnych). Złącza uznanego producenta.  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DMX 2m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DMX 2m (XLRF, XLRM)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DMX (110 ohm), do zastosowań scenicznych (przewód wzmocniony - nie instalacyjnych). Złącza uznanego producenta.  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8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zasilający 10m z pojedynczym gniazdem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zasilający 230V w gumie, złącza ze stykiem ochronnym, 10m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3x 2,5mm2, linka w gumie, przewód uznanego producenta, wtyki gumowe hermetyczne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zasilający 5m z potrójnym gniazdem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zasilający 230V w gumie, złącza ze stykiem ochronnym, 5m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zasilający 2,5m z potrójnym gniazdem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zasilający 230V w gumie, złącza ze stykiem ochronnym, 2,5m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sterownik DMX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Showtec Creator Compact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Ilość kanałów DMX: 768. Możliwość podłączenia do 32 urządzeń. Ilość kanałów na każde urządzenie: 24. Ilość chase'ów: 60. Ilość chase'ów pracujących równocześnie: 10. Ilość kroków w chase: 120. Ilość obrazów na każdą scenę: 5. Generator obrazów: Dimmer, Pan/Tilt, RGB, CMY, Kolor, Gobo, Iris oraz Focus. Ilość obrazów wyświetlanych równocześnie: 5. Złącze USB dla zapisywania ustawień i pokazów (FAT32)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Lampa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FLASH PAR 64 COB 100W RGB</w:t>
            </w:r>
          </w:p>
        </w:tc>
        <w:tc>
          <w:tcPr>
            <w:tcW w:w="26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Pobór mocy 200W, Napięcie zasilania 100 - 245V, Częstotliwość napięcia 50/60Hz, Typ diody COB. Ilość diod 1, Moc diody 200W. Wyświetlacz LCD Matrycowy. Barwa RGBW</w:t>
            </w:r>
          </w:p>
          <w:p w:rsidR="006C2E27" w:rsidRPr="002D53BB" w:rsidRDefault="006C2E27" w:rsidP="00370CDB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Kąt świecenia (min) 37°. Kąt świecenia (max) 37°. Ściemnianie Płynne: 0 - 100%. 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 xml:space="preserve">Ilość kanałów DMX 6 / 8. Standard DMX DMX 512. Sterowanie 4 przyciski. Tryby pracy DMX512, Auto, Sound-controlled, Manual color, Master, Slave. Funkcje DMX Signal regeneration, Electronic protection against overheating. AC IN powerCON. AC OUT powerCON. DMX IN XLR - 3 pin. 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DMX OUT XLR - 3 pin. Stopień ochrony IP IP20. Rodzaj obudowy ABS</w:t>
            </w:r>
          </w:p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Chłodzenie Aktywne, kontrolowane temperaturą</w:t>
            </w:r>
          </w:p>
        </w:tc>
        <w:tc>
          <w:tcPr>
            <w:tcW w:w="4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6C2E27" w:rsidRPr="002D53BB" w:rsidRDefault="006C2E27" w:rsidP="006C2E27">
      <w:pPr>
        <w:pStyle w:val="Standard"/>
        <w:rPr>
          <w:rFonts w:ascii="Verdana" w:eastAsia="Times New Roman" w:hAnsi="Verdana" w:cs="Arial"/>
          <w:color w:val="000000"/>
          <w:sz w:val="20"/>
          <w:szCs w:val="20"/>
          <w:lang w:val="en-US"/>
        </w:rPr>
      </w:pPr>
    </w:p>
    <w:p w:rsidR="006C2E27" w:rsidRPr="002D53BB" w:rsidRDefault="006C2E27" w:rsidP="006C2E27">
      <w:pPr>
        <w:pStyle w:val="Standard"/>
        <w:rPr>
          <w:rFonts w:ascii="Verdana" w:eastAsia="Times New Roman" w:hAnsi="Verdana" w:cs="Arial"/>
          <w:color w:val="000000"/>
          <w:sz w:val="20"/>
          <w:szCs w:val="20"/>
        </w:rPr>
      </w:pPr>
    </w:p>
    <w:p w:rsidR="006C2E27" w:rsidRPr="002D53BB" w:rsidRDefault="006C2E27" w:rsidP="006C2E27">
      <w:pPr>
        <w:pStyle w:val="Standard"/>
        <w:rPr>
          <w:rFonts w:ascii="Verdana" w:hAnsi="Verdana"/>
          <w:b/>
          <w:sz w:val="20"/>
          <w:szCs w:val="20"/>
        </w:rPr>
      </w:pPr>
      <w:r w:rsidRPr="002D53BB">
        <w:rPr>
          <w:rFonts w:ascii="Verdana" w:hAnsi="Verdana"/>
          <w:b/>
          <w:sz w:val="20"/>
          <w:szCs w:val="20"/>
        </w:rPr>
        <w:t>NAGŁOŚNIENIE: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2907"/>
        <w:gridCol w:w="4176"/>
        <w:gridCol w:w="268"/>
      </w:tblGrid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aktywny zestaw głośnikowy szerokopasmowy</w:t>
            </w:r>
          </w:p>
        </w:tc>
        <w:tc>
          <w:tcPr>
            <w:tcW w:w="157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JBL  PRX 835</w:t>
            </w:r>
          </w:p>
        </w:tc>
        <w:tc>
          <w:tcPr>
            <w:tcW w:w="2267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spacing w:after="240"/>
              <w:rPr>
                <w:rFonts w:ascii="Verdana" w:hAnsi="Verdana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Aktywna 2-drożna kolumna frontowa. Wbudowane wi-fi, bezprzewodowe zarządzanie, limitery, , bass-reflex, SPL max co najmniej 138 dB ,wzmacniacz o łącznej mocy minimum 1500W, szerokość pasma minimum: 41Hz-20kHz, głośnik niskotonowy 15" z podwójną cewką, + 6.5" woofer średniotonowy + 1" ciśnieniowy driver, wzmacniacz klasy D: 2 x 750W, minimum 12 punktów montażowych M10,  wykończenie obudowy - czarny lakier  utwardzany, kąt pokrycia: 90° poz x 50° pion, waga maksymalna 35 kg</w:t>
            </w:r>
          </w:p>
        </w:tc>
        <w:tc>
          <w:tcPr>
            <w:tcW w:w="14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aktywny subwoofer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JBL PRX815XLFW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Aktywny subwoofer, wbudowane wi-fi, bezprzewodowe zarządzanie, limiter, obudowa bass-Reflex, SPL max co najmniej 131 dB, pasmo minimalne: 36Hz-98Hz, głośnik niskotonowy 15" z podwójną cewką, wzmacniacz klasy D: 1500W, gniazdo do sztycy, wykończenie obudowy: czarny lakier utwardzany, waga maksymalna 26 kg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aktywny monitor sceniczny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JBL PRX812W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spacing w:after="24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Aktywna 3-drożna kolumna frontowa/monitor, wbudowane wi-fi, bezprzewodowe zarządzanie, limiter, obudowa bass-reflex, SPL max co najmniej 135 dB, wzmacniacz 1500W, pasmo minimalne: 53Hz-20kHz, głośnik niskotonowy 12" z podwójną cewką  + 1.5" ciśnieniowy driver neodymowy, wzmacniacz klasy D minimum 2 x 750W, 2 gniazda do statywu, minimum 12 punktów montażowych M10, sklejka z wykończeniem obudowy czarnym twardym lakierem kąty pokrycia: 90° poz x 50° pion, waga max 20 kg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3296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mikser dźwięku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Soundcraft FX 16ii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spacing w:after="24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minimum 16 wejść mono, 4 wejścia stereo, 2 podgrupy, 4 wyjścia aux (1 dla wbudowanego efektu, 3 zewnętrzne), wbudowany 24-bitowy procesor efektowy, minimum 32 efekty do wyboru, przedwzmacniacze niskoszumowe, wyjścia direct out przełączane pre/post, inserty w torach mono oraz w sumie, 3-pasmowy korektor, z półparametryczną średnicą, zasilanie Phantom +48V, 4 powroty stereo, tłumiki 100 mm, wbudowany zasilacz.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multicorem 25 metrów ze stageboxem 24 /8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Proel EBN24/8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Wysokiej jakości pozłacane złącza XLR, wytrzymała stalowa obudowa stageboxa, minimum 24 wejścia i 8 wyjść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mikrofon dynamiczny wokalowy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SHURE SM 58LCE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wytrzymała konstrukcja metalowa - dynamiczny, kardioidalny, pasmo przenoszenia 50-15000Hz, czułość 54,5 dBV/Pa / 1,88 mV/Pa, waga 298g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mikrofon dynamiczny instrumentalny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SHURE SM 57LCE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Wytrzymała konstrukcja metalowa,  pasmo przenoszenia: 40 Hz - 15 kHz,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czułość (1 kHz): -54,5 dBV/Pa / 1,88 mV/Pa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Waga: 284 g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statyw mikrofonowy typu żuraw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Dynawid SM3200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Statyw do mikrofonu - typ "żuraw".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-wysokość - min:100cm, max:230cm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nóżki:32cm, zakończone nasadką gumową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-ramię poziome 70cm, zakończone gwintem 3,8"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-podstawa składana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-waga 3,1 do 3,3kg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-rury cienkościenne stalowe precyzyjne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-lakier proszkowy czarny półmatowy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-wszystkie elementy konstrukcyjne wykonane metodą wtrysku ciśnieniowego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-pokrętła plastikowe wykonane z wysokoudarowego poliamidu PA-6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statyw mikrofonowy – niski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Dynawid SM3400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Statyw do mikrofonu podsłuchowy (niski).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-rury cienkościenne stalowe precyzyjne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-lakier proszkowy czarny półmatowy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-wszystkie elementy konstrukcyjne wykonane metodą wtrysku ciśnieniowego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-pokrętła plastikowe wykonane z wysokoudarowego poliamidu PA-6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-Wysokość 65 do 155cm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-Wysięgnik teleskopowy poziomy, zakończony gwintem 3/8"</w:t>
            </w: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-Nóżki 32cm zakończone nasadką gumową z regulowaną średnicą rozstawu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obudowa transportowa typu rack na kołach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12pm 12U Rack na kołach z uchwytami pod mikser audio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skrzynia rack 12 U, sklejka bałtycka "heksagon", minimum 6mm, koła o średnicy minimum 8cm obrotowe z hamulcami, możliwość zamontowania konsolety dźwiękowej od góry.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dźwiękowy XLRF/XLRM  10m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audio 10m (XLRF, XLRM)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audio - symetryczny, do zastosowań scenicznych (przewód wzmocniony - nie instalacyjnych). Złącza uznanego producenta.  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dźwiękowy XLRF/XLRM  7,5m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audio 7,5 (XLRF, XLRM)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audio - symetryczny, do zastosowań scenicznych (przewód wzmocniony - nie instalacyjnych). Złącza uznanego producenta.  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dźwiękowy XLRF/XLRM  5m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audio 5m (XLRF, XLRM)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audio - symetryczny, do zastosowań scenicznych (przewód wzmocniony - nie instalacyjnych). Złącza uznanego producenta.  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dźwiękowy XLRF/XLRM  2m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audio 2m (XLRF, XLRM)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Przewód przeznaczony do transmisji sygnałów audio - symetryczny, do zastosowań scenicznych (przewód wzmocniony - nie instalacyjnych). Złącza uznanego producenta.  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8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zasilający 10m z pojedynczym gniazdem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zasilający 230V w gumie, złącza ze stykiem ochronnym, 10m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3x 2,5mm2, linka w gumie, przewód uznanego producenta, wtyki gumowe hermetyczne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kabel zasilający 5m z potrójnym gniazdem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zasilający 230V w gumie, złącza ze stykiem ochronnym, 5m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6C2E27" w:rsidRPr="002D53BB" w:rsidTr="00370CD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kabel zasilający 2,5m z potrójnym gniazdem</w:t>
            </w:r>
          </w:p>
        </w:tc>
        <w:tc>
          <w:tcPr>
            <w:tcW w:w="157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przewód zasilający 230V w gumie, złącza ze stykiem ochronnym, 2,5m</w:t>
            </w:r>
          </w:p>
        </w:tc>
        <w:tc>
          <w:tcPr>
            <w:tcW w:w="2267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1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E27" w:rsidRPr="002D53BB" w:rsidRDefault="006C2E27" w:rsidP="00370CDB">
            <w:pPr>
              <w:pStyle w:val="Standard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D53BB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6C2E27" w:rsidRPr="002D53BB" w:rsidRDefault="006C2E27" w:rsidP="006C2E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</w:p>
    <w:p w:rsidR="006C2E27" w:rsidRPr="002D53BB" w:rsidRDefault="006C2E27" w:rsidP="006C2E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</w:p>
    <w:p w:rsidR="006C2E27" w:rsidRPr="002D53BB" w:rsidRDefault="006C2E27" w:rsidP="006C2E27">
      <w:pPr>
        <w:pStyle w:val="Zwykytekst"/>
        <w:rPr>
          <w:rFonts w:ascii="Verdana" w:hAnsi="Verdana"/>
          <w:u w:val="single"/>
          <w:lang w:val="pl-PL"/>
        </w:rPr>
      </w:pPr>
      <w:r w:rsidRPr="002D53BB">
        <w:rPr>
          <w:rFonts w:ascii="Verdana" w:hAnsi="Verdana"/>
          <w:u w:val="single"/>
          <w:lang w:val="pl-PL"/>
        </w:rPr>
        <w:t>Parametry dodatkowe (punktowane dodatkowo w kryterium pozacenowym):</w:t>
      </w:r>
    </w:p>
    <w:p w:rsidR="006C2E27" w:rsidRPr="002D53BB" w:rsidRDefault="006C2E27" w:rsidP="006C2E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</w:p>
    <w:p w:rsidR="006C2E27" w:rsidRPr="002D53BB" w:rsidRDefault="006C2E27" w:rsidP="006C2E27">
      <w:pPr>
        <w:shd w:val="clear" w:color="auto" w:fill="FFFFFF"/>
        <w:spacing w:after="0" w:line="240" w:lineRule="auto"/>
        <w:rPr>
          <w:rFonts w:ascii="Verdana" w:hAnsi="Verdana" w:cs="Arial"/>
          <w:color w:val="222222"/>
          <w:sz w:val="20"/>
          <w:szCs w:val="20"/>
        </w:rPr>
      </w:pPr>
      <w:r w:rsidRPr="002D53BB">
        <w:rPr>
          <w:rFonts w:ascii="Verdana" w:hAnsi="Verdana" w:cs="Arial"/>
          <w:color w:val="222222"/>
          <w:sz w:val="20"/>
          <w:szCs w:val="20"/>
        </w:rPr>
        <w:t>1) obudowa transportowa typu rack na kołach,</w:t>
      </w:r>
    </w:p>
    <w:p w:rsidR="006C2E27" w:rsidRPr="002D53BB" w:rsidRDefault="006C2E27" w:rsidP="006C2E27">
      <w:pPr>
        <w:shd w:val="clear" w:color="auto" w:fill="FFFFFF"/>
        <w:spacing w:after="0" w:line="240" w:lineRule="auto"/>
        <w:rPr>
          <w:rFonts w:ascii="Verdana" w:hAnsi="Verdana" w:cs="Arial"/>
          <w:color w:val="222222"/>
          <w:sz w:val="20"/>
          <w:szCs w:val="20"/>
        </w:rPr>
      </w:pPr>
      <w:r w:rsidRPr="002D53BB">
        <w:rPr>
          <w:rFonts w:ascii="Verdana" w:hAnsi="Verdana" w:cs="Arial"/>
          <w:color w:val="222222"/>
          <w:sz w:val="20"/>
          <w:szCs w:val="20"/>
        </w:rPr>
        <w:t>2) kable o parametrach podanych poniżej:</w:t>
      </w:r>
    </w:p>
    <w:p w:rsidR="006C2E27" w:rsidRPr="002D53BB" w:rsidRDefault="006C2E27" w:rsidP="006C2E27">
      <w:pPr>
        <w:shd w:val="clear" w:color="auto" w:fill="FFFFFF"/>
        <w:spacing w:after="0" w:line="240" w:lineRule="auto"/>
        <w:rPr>
          <w:rFonts w:ascii="Verdana" w:hAnsi="Verdana" w:cs="Arial"/>
          <w:color w:val="222222"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3575"/>
        <w:gridCol w:w="3416"/>
        <w:gridCol w:w="268"/>
      </w:tblGrid>
      <w:tr w:rsidR="006C2E27" w:rsidRPr="002D53BB" w:rsidTr="00370CDB">
        <w:trPr>
          <w:trHeight w:val="408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DMX 10m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DMX 10m (XLRF, XLRM)</w:t>
            </w:r>
          </w:p>
        </w:tc>
        <w:tc>
          <w:tcPr>
            <w:tcW w:w="2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DMX (110 ohm),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DMX 7,5m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DMX 7,5m (XLRF, XLRM)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DMX (110 ohm),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DMX 5m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DMX 5m (XLRF, XLRM)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DMX (110 ohm),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DMX 2m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DMX 2m (XLRF, XLRM)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DMX (110 ohm),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6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zasilający 10m z pojedynczym gniazdem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zasilający 230V w gumie, złącza ze stykiem ochronnym, 10m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3x 2,5mm2, linka w gumie, przewód uznanego producenta, wtyki gumowe hermetyczne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zasilający 5m z potrójnym gniazdem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zasilający 230V w gumie, złącza ze stykiem ochronnym, 5m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kabel zasilający 2,5m z potrójnym gniazdem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zasilający 230V w gumie, złącza ze stykiem ochronnym, 2,5m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dźwiękowy XLRF/XLRM  10m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audio 10m (XLRF, XLRM)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audio - symetryczny,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dźwiękowy XLRF/XLRM  7,5m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audio 7,5 (XLRF, XLRM)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audio - symetryczny,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dźwiękowy XLRF/XLRM  5m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audio 5m (XLRF, XLRM)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audio - symetryczny,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dźwiękowy XLRF/XLRM  2m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audio 2m (XLRF, XLRM)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przeznaczony do transmisji sygnałów audio - symetryczny, do zastosowań scenicznych (przewód wzmocniony - nie instalacyjnych). Złącza uznanego producenta.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2D53BB" w:rsidTr="00370CDB">
        <w:trPr>
          <w:trHeight w:val="6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zasilający 10m z pojedynczym gniazdem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zasilający 230V w gumie, złącza ze stykiem ochronnym, 10m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3x 2,5mm2, linka w gumie, przewód uznanego producenta, wtyki gumowe hermetyczne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6C2E27" w:rsidRPr="002D53BB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zasilający 5m z potrójnym gniazdem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zasilający 230V w gumie, złącza ze stykiem ochronnym, 5m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2D53BB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6C2E27" w:rsidRPr="00EB793A" w:rsidTr="00370CDB">
        <w:trPr>
          <w:trHeight w:val="9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kabel zasilający 2,5m z potrójnym gniazdem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przewód zasilający 230V w gumie, złącza ze stykiem ochronnym, 2,5m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2E27" w:rsidRPr="002D53BB" w:rsidRDefault="006C2E27" w:rsidP="00370CD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/>
                <w:color w:val="000000"/>
                <w:sz w:val="20"/>
                <w:szCs w:val="20"/>
              </w:rPr>
              <w:t>3x 2,5mm2, linka w gumie, przewód uznanego producenta, wtyki gumowe hermetyczne, na końcu listwa 3 gniazda zamykane wiekiem gumowym (hermetyczne)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E27" w:rsidRPr="00EB793A" w:rsidRDefault="006C2E27" w:rsidP="00370CDB">
            <w:pPr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2D53BB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6C2E27" w:rsidRPr="00EB793A" w:rsidRDefault="006C2E27" w:rsidP="006C2E27">
      <w:pPr>
        <w:shd w:val="clear" w:color="auto" w:fill="FFFFFF"/>
        <w:spacing w:after="0" w:line="240" w:lineRule="auto"/>
        <w:rPr>
          <w:rFonts w:ascii="Verdana" w:hAnsi="Verdana" w:cs="Arial"/>
          <w:color w:val="222222"/>
          <w:sz w:val="20"/>
          <w:szCs w:val="20"/>
        </w:rPr>
      </w:pPr>
      <w:r w:rsidRPr="00EB793A">
        <w:rPr>
          <w:rFonts w:ascii="Verdana" w:hAnsi="Verdana" w:cs="Arial"/>
          <w:color w:val="1F497D"/>
          <w:sz w:val="20"/>
          <w:szCs w:val="20"/>
        </w:rPr>
        <w:t> </w:t>
      </w:r>
    </w:p>
    <w:p w:rsidR="006C2E27" w:rsidRDefault="006C2E27" w:rsidP="006C2E27">
      <w:pPr>
        <w:pStyle w:val="NormalnyWeb"/>
        <w:rPr>
          <w:rFonts w:ascii="Verdana" w:hAnsi="Verdana"/>
          <w:sz w:val="20"/>
          <w:szCs w:val="20"/>
        </w:rPr>
      </w:pPr>
    </w:p>
    <w:p w:rsidR="006C2E27" w:rsidRDefault="006C2E27" w:rsidP="006C2E27">
      <w:pPr>
        <w:pStyle w:val="NormalnyWeb"/>
        <w:rPr>
          <w:rFonts w:ascii="Verdana" w:hAnsi="Verdana"/>
          <w:b/>
          <w:sz w:val="20"/>
          <w:szCs w:val="20"/>
        </w:rPr>
      </w:pPr>
    </w:p>
    <w:p w:rsidR="006C2E27" w:rsidRPr="00EB793A" w:rsidRDefault="006C2E27" w:rsidP="006C2E27">
      <w:pPr>
        <w:pStyle w:val="NormalnyWeb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EB793A">
        <w:rPr>
          <w:rFonts w:ascii="Verdana" w:hAnsi="Verdana"/>
          <w:b/>
          <w:sz w:val="20"/>
          <w:szCs w:val="20"/>
        </w:rPr>
        <w:lastRenderedPageBreak/>
        <w:t>Część 3:</w:t>
      </w:r>
    </w:p>
    <w:p w:rsidR="006C2E27" w:rsidRPr="00EB538C" w:rsidRDefault="006C2E27" w:rsidP="006C2E27">
      <w:pPr>
        <w:pStyle w:val="Standard"/>
        <w:jc w:val="both"/>
        <w:rPr>
          <w:rFonts w:ascii="Verdana" w:hAnsi="Verdana"/>
          <w:sz w:val="20"/>
          <w:szCs w:val="20"/>
        </w:rPr>
      </w:pPr>
      <w:r w:rsidRPr="00EB538C">
        <w:rPr>
          <w:rFonts w:ascii="Verdana" w:hAnsi="Verdana"/>
          <w:sz w:val="20"/>
          <w:szCs w:val="20"/>
        </w:rPr>
        <w:t>AGREGAT MOBILNY:</w:t>
      </w:r>
    </w:p>
    <w:p w:rsidR="006C2E27" w:rsidRPr="00EB538C" w:rsidRDefault="006C2E27" w:rsidP="006C2E27">
      <w:pPr>
        <w:pStyle w:val="Standard"/>
        <w:jc w:val="both"/>
        <w:rPr>
          <w:rFonts w:ascii="Verdana" w:hAnsi="Verdana"/>
          <w:sz w:val="20"/>
          <w:szCs w:val="20"/>
        </w:rPr>
      </w:pPr>
      <w:r w:rsidRPr="00EB538C">
        <w:rPr>
          <w:rFonts w:ascii="Verdana" w:hAnsi="Verdana"/>
          <w:sz w:val="20"/>
          <w:szCs w:val="20"/>
        </w:rPr>
        <w:t>Agregat powinien posiadać:</w:t>
      </w:r>
    </w:p>
    <w:p w:rsidR="006C2E27" w:rsidRPr="00EB538C" w:rsidRDefault="006C2E27" w:rsidP="006C2E27">
      <w:pPr>
        <w:pStyle w:val="Zwykytekst"/>
        <w:jc w:val="both"/>
        <w:rPr>
          <w:rFonts w:ascii="Verdana" w:hAnsi="Verdana"/>
          <w:lang w:val="pl-PL"/>
        </w:rPr>
      </w:pPr>
      <w:r w:rsidRPr="00EB538C">
        <w:rPr>
          <w:rFonts w:ascii="Verdana" w:hAnsi="Verdana"/>
        </w:rPr>
        <w:t>1. Własną mobilność - czyli powinien być w formie przyczepki</w:t>
      </w:r>
      <w:r>
        <w:rPr>
          <w:rFonts w:ascii="Verdana" w:hAnsi="Verdana"/>
          <w:lang w:val="pl-PL"/>
        </w:rPr>
        <w:t>,</w:t>
      </w:r>
    </w:p>
    <w:p w:rsidR="006C2E27" w:rsidRPr="00EB538C" w:rsidRDefault="006C2E27" w:rsidP="006C2E27">
      <w:pPr>
        <w:pStyle w:val="Zwykytekst"/>
        <w:jc w:val="both"/>
        <w:rPr>
          <w:rFonts w:ascii="Verdana" w:hAnsi="Verdana"/>
        </w:rPr>
      </w:pPr>
      <w:r w:rsidRPr="00EB538C">
        <w:rPr>
          <w:rFonts w:ascii="Verdana" w:hAnsi="Verdana"/>
        </w:rPr>
        <w:t xml:space="preserve">2. Stabilizację napięcia i odpowiednią moc - minimum </w:t>
      </w:r>
      <w:r>
        <w:rPr>
          <w:rFonts w:ascii="Verdana" w:hAnsi="Verdana"/>
          <w:lang w:val="pl-PL"/>
        </w:rPr>
        <w:t>6</w:t>
      </w:r>
      <w:r w:rsidRPr="00EB538C">
        <w:rPr>
          <w:rFonts w:ascii="Verdana" w:hAnsi="Verdana"/>
        </w:rPr>
        <w:t xml:space="preserve">0KW </w:t>
      </w:r>
      <w:r>
        <w:rPr>
          <w:rFonts w:ascii="Verdana" w:hAnsi="Verdana"/>
          <w:lang w:val="pl-PL"/>
        </w:rPr>
        <w:t>– maximum 80 KW</w:t>
      </w:r>
      <w:r w:rsidRPr="00EB538C">
        <w:rPr>
          <w:rFonts w:ascii="Verdana" w:hAnsi="Verdana"/>
        </w:rPr>
        <w:br/>
        <w:t>3. Odpowiednie elementy zabezpieczeń, przepięć mocy, a także filtry przeciw zakłóceniowe, które umożliwią bezpieczną pracę sprzętu muzycznego, nagłośnienia i oświetlenia</w:t>
      </w:r>
      <w:r w:rsidRPr="00EB538C">
        <w:rPr>
          <w:rFonts w:ascii="Verdana" w:hAnsi="Verdana"/>
        </w:rPr>
        <w:br/>
      </w:r>
    </w:p>
    <w:p w:rsidR="004E03C1" w:rsidRPr="006C2E27" w:rsidRDefault="004E03C1">
      <w:pPr>
        <w:rPr>
          <w:lang w:val="x-none"/>
        </w:rPr>
      </w:pPr>
    </w:p>
    <w:sectPr w:rsidR="004E03C1" w:rsidRPr="006C2E27" w:rsidSect="007232FC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30" w:rsidRDefault="00697B30" w:rsidP="006C2E27">
      <w:pPr>
        <w:spacing w:after="0" w:line="240" w:lineRule="auto"/>
      </w:pPr>
      <w:r>
        <w:separator/>
      </w:r>
    </w:p>
  </w:endnote>
  <w:endnote w:type="continuationSeparator" w:id="0">
    <w:p w:rsidR="00697B30" w:rsidRDefault="00697B30" w:rsidP="006C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17" w:rsidRDefault="00697B3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2E27">
      <w:rPr>
        <w:noProof/>
      </w:rPr>
      <w:t>18</w:t>
    </w:r>
    <w:r>
      <w:fldChar w:fldCharType="end"/>
    </w:r>
  </w:p>
  <w:p w:rsidR="00B85717" w:rsidRDefault="00697B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30" w:rsidRDefault="00697B30" w:rsidP="006C2E27">
      <w:pPr>
        <w:spacing w:after="0" w:line="240" w:lineRule="auto"/>
      </w:pPr>
      <w:r>
        <w:separator/>
      </w:r>
    </w:p>
  </w:footnote>
  <w:footnote w:type="continuationSeparator" w:id="0">
    <w:p w:rsidR="00697B30" w:rsidRDefault="00697B30" w:rsidP="006C2E27">
      <w:pPr>
        <w:spacing w:after="0" w:line="240" w:lineRule="auto"/>
      </w:pPr>
      <w:r>
        <w:continuationSeparator/>
      </w:r>
    </w:p>
  </w:footnote>
  <w:footnote w:id="1">
    <w:p w:rsidR="006C2E27" w:rsidRDefault="006C2E27" w:rsidP="006C2E27">
      <w:pPr>
        <w:pStyle w:val="Tekstprzypisudolnego"/>
        <w:spacing w:after="120" w:line="240" w:lineRule="aut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6C2E27" w:rsidRDefault="006C2E27" w:rsidP="006C2E27">
      <w:pPr>
        <w:pStyle w:val="Tekstprzypisudolnego"/>
        <w:spacing w:after="120" w:line="240" w:lineRule="aut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6C2E27" w:rsidRDefault="006C2E27" w:rsidP="006C2E27">
      <w:pPr>
        <w:pStyle w:val="Tekstprzypisudolnego"/>
        <w:spacing w:after="120" w:line="240" w:lineRule="aut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6C2E27" w:rsidRPr="008359FB" w:rsidRDefault="006C2E27" w:rsidP="006C2E27">
      <w:pPr>
        <w:pStyle w:val="Tekstprzypisudolnego"/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8359FB">
        <w:rPr>
          <w:rStyle w:val="Odwoanieprzypisudolnego"/>
          <w:rFonts w:ascii="Verdana" w:hAnsi="Verdana"/>
          <w:sz w:val="16"/>
          <w:szCs w:val="16"/>
        </w:rPr>
        <w:footnoteRef/>
      </w:r>
      <w:r w:rsidRPr="008359FB">
        <w:rPr>
          <w:rFonts w:ascii="Verdana" w:hAnsi="Verdana"/>
          <w:sz w:val="16"/>
          <w:szCs w:val="16"/>
        </w:rPr>
        <w:t xml:space="preserve"> niepotrzebne skreślić oraz – jeżeli dotyczy – wypełnić puste pola. W przypadku nie zaznaczenia żadnej możliwości Zamawiający uzna, że wybór oferty NIE BĘDZIE prowadzić do powstania u Zamawiającego obowiązku podatkowego zgodnie z przepisami o podatku od towarów i usług, o którym mowa w art. 91 ust. 3a ustawy Pzp, tj. w przypadku wyboru oferty Wykonawcy nie dojdzie do konieczności doliczenia do ceny oferty wartości podatku od towarów i usług (VAT) do wartości netto oferty</w:t>
      </w:r>
    </w:p>
    <w:p w:rsidR="006C2E27" w:rsidRPr="004531C8" w:rsidRDefault="006C2E27" w:rsidP="006C2E27">
      <w:pPr>
        <w:pStyle w:val="Tekstprzypisudolnego"/>
        <w:spacing w:after="120" w:line="240" w:lineRule="auto"/>
        <w:jc w:val="both"/>
      </w:pPr>
      <w:r w:rsidRPr="00B934F3">
        <w:rPr>
          <w:sz w:val="18"/>
          <w:szCs w:val="18"/>
        </w:rPr>
        <w:t>.</w:t>
      </w:r>
    </w:p>
  </w:footnote>
  <w:footnote w:id="5">
    <w:p w:rsidR="006C2E27" w:rsidRDefault="006C2E27" w:rsidP="006C2E27">
      <w:pPr>
        <w:pStyle w:val="Tekstprzypisudolnego"/>
        <w:spacing w:after="120" w:line="240" w:lineRule="aut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F38"/>
    <w:multiLevelType w:val="hybridMultilevel"/>
    <w:tmpl w:val="AD0E8E9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AA91E97"/>
    <w:multiLevelType w:val="hybridMultilevel"/>
    <w:tmpl w:val="6A8AA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6ED7"/>
    <w:multiLevelType w:val="hybridMultilevel"/>
    <w:tmpl w:val="2062C0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630EE9"/>
    <w:multiLevelType w:val="hybridMultilevel"/>
    <w:tmpl w:val="89C48C08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E4FE9356">
      <w:start w:val="1"/>
      <w:numFmt w:val="upperRoman"/>
      <w:lvlText w:val="%2."/>
      <w:lvlJc w:val="left"/>
      <w:pPr>
        <w:ind w:left="2228" w:hanging="720"/>
      </w:pPr>
    </w:lvl>
    <w:lvl w:ilvl="2" w:tplc="04150011">
      <w:start w:val="1"/>
      <w:numFmt w:val="decimal"/>
      <w:lvlText w:val="%3)"/>
      <w:lvlJc w:val="lef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1D724A50"/>
    <w:multiLevelType w:val="hybridMultilevel"/>
    <w:tmpl w:val="79505C6A"/>
    <w:lvl w:ilvl="0" w:tplc="0F92D55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1D8117DF"/>
    <w:multiLevelType w:val="hybridMultilevel"/>
    <w:tmpl w:val="5D8AF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053D1"/>
    <w:multiLevelType w:val="hybridMultilevel"/>
    <w:tmpl w:val="970C2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90D36"/>
    <w:multiLevelType w:val="hybridMultilevel"/>
    <w:tmpl w:val="11F4237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1">
      <w:start w:val="1"/>
      <w:numFmt w:val="decimal"/>
      <w:lvlText w:val="%3)"/>
      <w:lvlJc w:val="left"/>
      <w:pPr>
        <w:ind w:left="6985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30E444F7"/>
    <w:multiLevelType w:val="hybridMultilevel"/>
    <w:tmpl w:val="3AD0B9D4"/>
    <w:lvl w:ilvl="0" w:tplc="2B048E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F43D1B"/>
    <w:multiLevelType w:val="hybridMultilevel"/>
    <w:tmpl w:val="EAAA4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634FC"/>
    <w:multiLevelType w:val="hybridMultilevel"/>
    <w:tmpl w:val="D53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D6"/>
    <w:multiLevelType w:val="hybridMultilevel"/>
    <w:tmpl w:val="C076F42C"/>
    <w:lvl w:ilvl="0" w:tplc="1A4AF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1E7E22"/>
    <w:multiLevelType w:val="hybridMultilevel"/>
    <w:tmpl w:val="E7DC7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1AD73C">
      <w:start w:val="4"/>
      <w:numFmt w:val="bullet"/>
      <w:lvlText w:val="·"/>
      <w:lvlJc w:val="left"/>
      <w:pPr>
        <w:ind w:left="1500" w:hanging="420"/>
      </w:pPr>
      <w:rPr>
        <w:rFonts w:ascii="Symbol CE" w:eastAsia="Times New Roman" w:hAnsi="Symbol CE" w:cs="Symbol CE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603C7"/>
    <w:multiLevelType w:val="hybridMultilevel"/>
    <w:tmpl w:val="3D30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9394E"/>
    <w:multiLevelType w:val="hybridMultilevel"/>
    <w:tmpl w:val="3DB6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71489"/>
    <w:multiLevelType w:val="hybridMultilevel"/>
    <w:tmpl w:val="D4AA2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03EE94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A30F2"/>
    <w:multiLevelType w:val="hybridMultilevel"/>
    <w:tmpl w:val="8B442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F4365"/>
    <w:multiLevelType w:val="hybridMultilevel"/>
    <w:tmpl w:val="B060C5FC"/>
    <w:lvl w:ilvl="0" w:tplc="2716DD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22873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05E40"/>
    <w:multiLevelType w:val="hybridMultilevel"/>
    <w:tmpl w:val="B1CC7D94"/>
    <w:lvl w:ilvl="0" w:tplc="E0501F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2C407A"/>
    <w:multiLevelType w:val="hybridMultilevel"/>
    <w:tmpl w:val="8EEC8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946D4"/>
    <w:multiLevelType w:val="hybridMultilevel"/>
    <w:tmpl w:val="AC7A6D7C"/>
    <w:lvl w:ilvl="0" w:tplc="8D242F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9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</w:num>
  <w:num w:numId="14">
    <w:abstractNumId w:val="1"/>
  </w:num>
  <w:num w:numId="15">
    <w:abstractNumId w:val="6"/>
  </w:num>
  <w:num w:numId="16">
    <w:abstractNumId w:val="19"/>
  </w:num>
  <w:num w:numId="17">
    <w:abstractNumId w:val="4"/>
  </w:num>
  <w:num w:numId="18">
    <w:abstractNumId w:val="11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27"/>
    <w:rsid w:val="004E03C1"/>
    <w:rsid w:val="00697B30"/>
    <w:rsid w:val="006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E2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E2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C2E27"/>
    <w:pPr>
      <w:ind w:left="720"/>
      <w:contextualSpacing/>
    </w:pPr>
    <w:rPr>
      <w:rFonts w:eastAsia="Calibri" w:cs="Calibri"/>
      <w:lang w:eastAsia="en-US"/>
    </w:rPr>
  </w:style>
  <w:style w:type="paragraph" w:styleId="Zwykytekst">
    <w:name w:val="Plain Text"/>
    <w:basedOn w:val="Normalny"/>
    <w:link w:val="ZwykytekstZnak"/>
    <w:rsid w:val="006C2E2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C2E27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E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E2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C2E2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C2E27"/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6C2E27"/>
    <w:rPr>
      <w:color w:val="0000FF"/>
      <w:u w:val="single"/>
    </w:rPr>
  </w:style>
  <w:style w:type="character" w:styleId="HTML-cytat">
    <w:name w:val="HTML Cite"/>
    <w:uiPriority w:val="99"/>
    <w:unhideWhenUsed/>
    <w:rsid w:val="006C2E27"/>
    <w:rPr>
      <w:i/>
      <w:iCs/>
    </w:rPr>
  </w:style>
  <w:style w:type="paragraph" w:styleId="NormalnyWeb">
    <w:name w:val="Normal (Web)"/>
    <w:basedOn w:val="Normalny"/>
    <w:unhideWhenUsed/>
    <w:rsid w:val="006C2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6C2E2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E2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E2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C2E27"/>
    <w:pPr>
      <w:ind w:left="720"/>
      <w:contextualSpacing/>
    </w:pPr>
    <w:rPr>
      <w:rFonts w:eastAsia="Calibri" w:cs="Calibri"/>
      <w:lang w:eastAsia="en-US"/>
    </w:rPr>
  </w:style>
  <w:style w:type="paragraph" w:styleId="Zwykytekst">
    <w:name w:val="Plain Text"/>
    <w:basedOn w:val="Normalny"/>
    <w:link w:val="ZwykytekstZnak"/>
    <w:rsid w:val="006C2E2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C2E27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E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E2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C2E2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C2E27"/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6C2E27"/>
    <w:rPr>
      <w:color w:val="0000FF"/>
      <w:u w:val="single"/>
    </w:rPr>
  </w:style>
  <w:style w:type="character" w:styleId="HTML-cytat">
    <w:name w:val="HTML Cite"/>
    <w:uiPriority w:val="99"/>
    <w:unhideWhenUsed/>
    <w:rsid w:val="006C2E27"/>
    <w:rPr>
      <w:i/>
      <w:iCs/>
    </w:rPr>
  </w:style>
  <w:style w:type="paragraph" w:styleId="NormalnyWeb">
    <w:name w:val="Normal (Web)"/>
    <w:basedOn w:val="Normalny"/>
    <w:unhideWhenUsed/>
    <w:rsid w:val="006C2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6C2E2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4654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Jarząbek</dc:creator>
  <cp:lastModifiedBy>Anna Jarząbek</cp:lastModifiedBy>
  <cp:revision>1</cp:revision>
  <dcterms:created xsi:type="dcterms:W3CDTF">2016-10-13T11:38:00Z</dcterms:created>
  <dcterms:modified xsi:type="dcterms:W3CDTF">2016-10-13T11:43:00Z</dcterms:modified>
</cp:coreProperties>
</file>